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template.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Override ContentType="application/vnd.openxmlformats-officedocument.wordprocessingml.header+xml" PartName="/word/header2.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cantSplit/>
          <w:trHeight w:val="1400" w:hRule="atLeast"/>
        </w:trPr>
        <w:tc>
          <w:tcPr>
            <w:tcBorders>
              <w:top w:val="single" w:color="041627" w:sz="4"/>
              <w:left w:val="single" w:color="041627" w:sz="4"/>
              <w:bottom w:val="single" w:color="041627" w:sz="4"/>
              <w:right w:val="single" w:color="041627" w:sz="4"/>
            </w:tcBorders>
            <w:shd w:fill="041627" w:val="clear"/>
            <w:tcMar>
              <w:top w:type="dxa" w:w="300"/>
              <w:left w:type="dxa" w:w="480"/>
              <w:bottom w:type="dxa" w:w="300"/>
              <w:right w:type="dxa" w:w="480"/>
            </w:tcMar>
          </w:tcPr>
          <w:p>
            <w:r>
              <w:drawing>
                <wp:inline distT="0" distB="0" distL="0" distR="0">
                  <wp:extent cx="1619250" cy="476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1619250" cy="476250"/>
                          </a:xfrm>
                          <a:prstGeom prst="rect">
                            <a:avLst/>
                          </a:prstGeom>
                        </pic:spPr>
                      </pic:pic>
                    </a:graphicData>
                  </a:graphic>
                </wp:inline>
              </w:drawing>
            </w:r>
          </w:p>
        </w:tc>
      </w:tr>
      <w:tr>
        <w:trPr>
          <w:cantSplit/>
          <w:trHeight w:val="6100" w:hRule="atLeast"/>
        </w:trPr>
        <w:tc>
          <w:tcPr>
            <w:tcBorders>
              <w:top w:val="single" w:color="041627" w:sz="4"/>
              <w:left w:val="single" w:color="041627" w:sz="4"/>
              <w:bottom w:val="single" w:color="041627" w:sz="4"/>
              <w:right w:val="single" w:color="041627" w:sz="4"/>
            </w:tcBorders>
            <w:shd w:fill="041627" w:val="clear"/>
            <w:tcMar>
              <w:top w:type="dxa" w:w="300"/>
              <w:left w:type="dxa" w:w="480"/>
              <w:bottom w:type="dxa" w:w="300"/>
              <w:right w:type="dxa" w:w="480"/>
            </w:tcMar>
          </w:tcPr>
          <w:p>
            <w:pPr>
              <w:pBdr>
                <w:top w:val="single" w:color="2CB6C0" w:sz="36" w:space="1"/>
              </w:pBdr>
              <w:spacing w:after="200"/>
            </w:pPr>
            <w:r>
              <w:rPr>
                <w:rFonts w:ascii="IBM Plex Sans" w:cs="IBM Plex Sans" w:eastAsia="IBM Plex Sans" w:hAnsi="IBM Plex Sans"/>
                <w:color w:val="1D1D1F"/>
                <w:sz w:val="2"/>
                <w:szCs w:val="2"/>
              </w:rPr>
              <w:t xml:space="preserve"/>
            </w:r>
          </w:p>
          <w:p>
            <w:pPr>
              <w:spacing w:after="240"/>
            </w:pPr>
            <w:r>
              <w:rPr>
                <w:rFonts w:ascii="IBM Plex Mono" w:cs="IBM Plex Mono" w:eastAsia="IBM Plex Mono" w:hAnsi="IBM Plex Mono"/>
                <w:color w:val="2CB6C0"/>
                <w:sz w:val="18"/>
                <w:szCs w:val="18"/>
              </w:rPr>
              <w:t xml:space="preserve">A2GO · WHITE PAPER</w:t>
            </w:r>
          </w:p>
          <w:p>
            <w:pPr>
              <w:spacing w:after="240"/>
            </w:pPr>
            <w:r>
              <w:rPr>
                <w:rFonts w:ascii="IBM Plex Serif" w:cs="IBM Plex Serif" w:eastAsia="IBM Plex Serif" w:hAnsi="IBM Plex Serif"/>
                <w:b/>
                <w:bCs/>
                <w:color w:val="FFFFFF"/>
                <w:sz w:val="60"/>
                <w:szCs w:val="60"/>
              </w:rPr>
              <w:t xml:space="preserve">White paper title on the dark cover</w:t>
            </w:r>
          </w:p>
          <w:p>
            <w:r>
              <w:rPr>
                <w:rFonts w:ascii="IBM Plex Sans" w:cs="IBM Plex Sans" w:eastAsia="IBM Plex Sans" w:hAnsi="IBM Plex Sans"/>
                <w:color w:val="C8D6E0"/>
                <w:sz w:val="24"/>
                <w:szCs w:val="24"/>
              </w:rPr>
              <w:t xml:space="preserve">One-line framing of the paper — dark cover variant; a light variant follows.</w:t>
            </w:r>
          </w:p>
        </w:tc>
      </w:tr>
      <w:tr>
        <w:trPr>
          <w:cantSplit/>
          <w:trHeight w:val="2300" w:hRule="atLeast"/>
        </w:trPr>
        <w:tc>
          <w:tcPr>
            <w:tcBorders>
              <w:top w:val="single" w:color="041627" w:sz="4"/>
              <w:left w:val="single" w:color="041627" w:sz="4"/>
              <w:bottom w:val="single" w:color="041627" w:sz="4"/>
              <w:right w:val="single" w:color="041627" w:sz="4"/>
            </w:tcBorders>
            <w:shd w:fill="041627" w:val="clear"/>
            <w:tcMar>
              <w:top w:type="dxa" w:w="300"/>
              <w:left w:type="dxa" w:w="480"/>
              <w:bottom w:type="dxa" w:w="300"/>
              <w:right w:type="dxa" w:w="480"/>
            </w:tcMar>
            <w:vAlign w:val="bottom"/>
          </w:tcPr>
          <w:p>
            <w:pPr>
              <w:spacing w:after="60"/>
            </w:pPr>
            <w:r>
              <w:rPr>
                <w:rFonts w:ascii="IBM Plex Mono" w:cs="IBM Plex Mono" w:eastAsia="IBM Plex Mono" w:hAnsi="IBM Plex Mono"/>
                <w:color w:val="2CB6C0"/>
                <w:sz w:val="18"/>
                <w:szCs w:val="18"/>
              </w:rPr>
              <w:t xml:space="preserve">Author · Month 2026</w:t>
            </w:r>
          </w:p>
          <w:p>
            <w:pPr>
              <w:spacing w:after="220"/>
            </w:pPr>
            <w:r>
              <w:rPr>
                <w:rFonts w:ascii="IBM Plex Mono" w:cs="IBM Plex Mono" w:eastAsia="IBM Plex Mono" w:hAnsi="IBM Plex Mono"/>
                <w:color w:val="2CB6C0"/>
                <w:sz w:val="18"/>
                <w:szCs w:val="18"/>
              </w:rPr>
              <w:t xml:space="preserve">a2go.ai</w:t>
            </w:r>
          </w:p>
          <w:p>
            <w:pPr>
              <w:spacing w:after="40"/>
            </w:pPr>
            <w:r>
              <w:rPr>
                <w:rFonts w:ascii="IBM Plex Sans" w:cs="IBM Plex Sans" w:eastAsia="IBM Plex Sans" w:hAnsi="IBM Plex Sans"/>
                <w:b/>
                <w:bCs/>
                <w:color w:val="FFFFFF"/>
                <w:sz w:val="18"/>
                <w:szCs w:val="18"/>
              </w:rPr>
              <w:t xml:space="preserve">Confidential &amp; Proprietary</w:t>
            </w:r>
          </w:p>
          <w:p>
            <w:pPr>
              <w:tabs>
                <w:tab w:val="right" w:pos="8300"/>
              </w:tabs>
            </w:pPr>
            <w:r>
              <w:rPr>
                <w:rFonts w:ascii="IBM Plex Sans" w:cs="IBM Plex Sans" w:eastAsia="IBM Plex Sans" w:hAnsi="IBM Plex Sans"/>
                <w:color w:val="C8D6E0"/>
                <w:sz w:val="16"/>
                <w:szCs w:val="16"/>
              </w:rPr>
              <w:t xml:space="preserve">© 2026 Analytics2Go, Inc. All rights reserved.</w:t>
            </w:r>
            <w:r>
              <w:t xml:space="preserve">	</w:t>
            </w:r>
            <w:r>
              <w:drawing>
                <wp:inline distT="0" distB="0" distL="0" distR="0">
                  <wp:extent cx="800100" cy="8001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800100" cy="800100"/>
                          </a:xfrm>
                          <a:prstGeom prst="rect">
                            <a:avLst/>
                          </a:prstGeom>
                        </pic:spPr>
                      </pic:pic>
                    </a:graphicData>
                  </a:graphic>
                </wp:inline>
              </w:drawing>
            </w:r>
          </w:p>
        </w:tc>
      </w:tr>
    </w:tbl>
    <w:p>
      <w:pPr>
        <w:pageBreakBefore/>
        <w:spacing w:after="600"/>
      </w:pPr>
      <w:r>
        <w:drawing>
          <wp:inline distT="0" distB="0" distL="0" distR="0">
            <wp:extent cx="1619250" cy="476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1619250" cy="476250"/>
                    </a:xfrm>
                    <a:prstGeom prst="rect">
                      <a:avLst/>
                    </a:prstGeom>
                  </pic:spPr>
                </pic:pic>
              </a:graphicData>
            </a:graphic>
          </wp:inline>
        </w:drawing>
      </w:r>
    </w:p>
    <w:p>
      <w:pPr>
        <w:pBdr>
          <w:bottom w:val="double" w:color="1D1D1F" w:sz="12" w:space="4"/>
        </w:pBdr>
        <w:spacing w:after="260"/>
      </w:pPr>
      <w:r>
        <w:rPr>
          <w:rFonts w:ascii="IBM Plex Mono" w:cs="IBM Plex Mono" w:eastAsia="IBM Plex Mono" w:hAnsi="IBM Plex Mono"/>
          <w:color w:val="6E6E73"/>
          <w:sz w:val="15"/>
          <w:szCs w:val="15"/>
        </w:rPr>
        <w:t xml:space="preserve">A2GO · DECISION INTELLIGENCE FOR SUPPLY CHAINS</w:t>
      </w:r>
    </w:p>
    <w:p>
      <w:pPr>
        <w:spacing w:after="120" w:before="0"/>
      </w:pPr>
      <w:r>
        <w:rPr>
          <w:rFonts w:ascii="IBM Plex Mono" w:cs="IBM Plex Mono" w:eastAsia="IBM Plex Mono" w:hAnsi="IBM Plex Mono"/>
          <w:color w:val="00707A"/>
          <w:sz w:val="18"/>
          <w:szCs w:val="18"/>
        </w:rPr>
        <w:t xml:space="preserve">A2GO · WHITE PAPER</w:t>
      </w:r>
    </w:p>
    <w:p>
      <w:pPr>
        <w:spacing w:after="240"/>
      </w:pPr>
      <w:r>
        <w:rPr>
          <w:rFonts w:ascii="IBM Plex Serif" w:cs="IBM Plex Serif" w:eastAsia="IBM Plex Serif" w:hAnsi="IBM Plex Serif"/>
          <w:b/>
          <w:bCs/>
          <w:color w:val="06243F"/>
          <w:sz w:val="60"/>
          <w:szCs w:val="60"/>
        </w:rPr>
        <w:t xml:space="preserve">White paper title on the light cover</w:t>
      </w:r>
    </w:p>
    <w:p>
      <w:pPr>
        <w:spacing w:after="2600"/>
      </w:pPr>
      <w:r>
        <w:rPr>
          <w:rFonts w:ascii="IBM Plex Sans" w:cs="IBM Plex Sans" w:eastAsia="IBM Plex Sans" w:hAnsi="IBM Plex Sans"/>
          <w:color w:val="6E6E73"/>
          <w:sz w:val="24"/>
          <w:szCs w:val="24"/>
        </w:rPr>
        <w:t xml:space="preserve">One-line framing of the paper — light cover variant.</w:t>
      </w:r>
    </w:p>
    <w:p>
      <w:pPr>
        <w:spacing w:after="60"/>
      </w:pPr>
      <w:r>
        <w:rPr>
          <w:rFonts w:ascii="IBM Plex Mono" w:cs="IBM Plex Mono" w:eastAsia="IBM Plex Mono" w:hAnsi="IBM Plex Mono"/>
          <w:color w:val="00707A"/>
          <w:sz w:val="18"/>
          <w:szCs w:val="18"/>
        </w:rPr>
        <w:t xml:space="preserve">Author · Month 2026</w:t>
      </w:r>
    </w:p>
    <w:p>
      <w:pPr>
        <w:spacing w:after="1200"/>
      </w:pPr>
      <w:r>
        <w:rPr>
          <w:rFonts w:ascii="IBM Plex Mono" w:cs="IBM Plex Mono" w:eastAsia="IBM Plex Mono" w:hAnsi="IBM Plex Mono"/>
          <w:color w:val="00707A"/>
          <w:sz w:val="18"/>
          <w:szCs w:val="18"/>
        </w:rPr>
        <w:t xml:space="preserve">a2go.ai</w:t>
      </w:r>
    </w:p>
    <w:p>
      <w:pPr>
        <w:spacing w:after="40"/>
      </w:pPr>
      <w:r>
        <w:rPr>
          <w:rFonts w:ascii="IBM Plex Sans" w:cs="IBM Plex Sans" w:eastAsia="IBM Plex Sans" w:hAnsi="IBM Plex Sans"/>
          <w:b/>
          <w:bCs/>
          <w:color w:val="1D1D1F"/>
          <w:sz w:val="18"/>
          <w:szCs w:val="18"/>
        </w:rPr>
        <w:t xml:space="preserve">Confidential &amp; Proprietary</w:t>
      </w:r>
    </w:p>
    <w:p>
      <w:pPr>
        <w:tabs>
          <w:tab w:val="right" w:pos="8300"/>
        </w:tabs>
      </w:pPr>
      <w:r>
        <w:rPr>
          <w:rFonts w:ascii="IBM Plex Sans" w:cs="IBM Plex Sans" w:eastAsia="IBM Plex Sans" w:hAnsi="IBM Plex Sans"/>
          <w:color w:val="6E6E73"/>
          <w:sz w:val="16"/>
          <w:szCs w:val="16"/>
        </w:rPr>
        <w:t xml:space="preserve">© 2026 Analytics2Go, Inc. All rights reserved.</w:t>
      </w:r>
      <w:r>
        <w:t xml:space="preserve">	</w:t>
      </w:r>
      <w:r>
        <w:drawing>
          <wp:inline distT="0" distB="0" distL="0" distR="0">
            <wp:extent cx="800100" cy="8001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800100" cy="800100"/>
                    </a:xfrm>
                    <a:prstGeom prst="rect">
                      <a:avLst/>
                    </a:prstGeom>
                  </pic:spPr>
                </pic:pic>
              </a:graphicData>
            </a:graphic>
          </wp:inline>
        </w:drawing>
      </w:r>
    </w:p>
    <w:p>
      <w:pPr>
        <w:sectPr>
          <w:headerReference w:type="default" r:id="rId7"/>
          <w:footerReference w:type="default" r:id="rId8"/>
          <w:pgSz w:w="12240" w:h="15840" w:orient="portrait"/>
          <w:pgMar w:top="1440" w:right="1440" w:bottom="1440" w:left="1440" w:header="708" w:footer="708" w:gutter="0"/>
          <w:pgNumType/>
          <w:docGrid w:linePitch="360"/>
        </w:sectPr>
      </w:pPr>
    </w:p>
    <w:p>
      <w:pPr>
        <w:spacing w:after="120"/>
      </w:pPr>
      <w:r>
        <w:rPr>
          <w:rFonts w:ascii="IBM Plex Serif" w:cs="IBM Plex Serif" w:eastAsia="IBM Plex Serif" w:hAnsi="IBM Plex Serif"/>
          <w:b/>
          <w:bCs/>
          <w:color w:val="06243F"/>
          <w:sz w:val="27"/>
          <w:szCs w:val="27"/>
        </w:rPr>
        <w:t xml:space="preserve">Notices</w:t>
      </w:r>
    </w:p>
    <w:p>
      <w:pPr>
        <w:spacing w:after="80"/>
      </w:pPr>
      <w:r>
        <w:rPr>
          <w:rFonts w:ascii="IBM Plex Sans" w:cs="IBM Plex Sans" w:eastAsia="IBM Plex Sans" w:hAnsi="IBM Plex Sans"/>
          <w:color w:val="3A3A3C"/>
          <w:sz w:val="18"/>
          <w:szCs w:val="18"/>
        </w:rPr>
        <w:t xml:space="preserve">© 2026 Analytics2Go, Inc. All rights reserved.</w:t>
      </w:r>
    </w:p>
    <w:p>
      <w:r>
        <w:rPr>
          <w:rFonts w:ascii="IBM Plex Sans" w:cs="IBM Plex Sans" w:eastAsia="IBM Plex Sans" w:hAnsi="IBM Plex Sans"/>
          <w:i/>
          <w:iCs/>
          <w:color w:val="6E6E73"/>
          <w:sz w:val="16"/>
          <w:szCs w:val="16"/>
        </w:rPr>
        <w:t xml:space="preserve">All notice blocks ship in every document by default. Each carries a note on when it may be deleted — when unsure, keep it. Deleting an unneeded block is a small error; a missing block is not.</w:t>
      </w:r>
    </w:p>
    <w:p>
      <w:pPr>
        <w:spacing w:after="80" w:before="240"/>
      </w:pPr>
      <w:r>
        <w:rPr>
          <w:rFonts w:ascii="IBM Plex Mono" w:cs="IBM Plex Mono" w:eastAsia="IBM Plex Mono" w:hAnsi="IBM Plex Mono"/>
          <w:color w:val="00707A"/>
          <w:sz w:val="16"/>
          <w:szCs w:val="16"/>
        </w:rPr>
        <w:t xml:space="preserve">CONFIDENTIALITY</w:t>
      </w:r>
    </w:p>
    <w:p>
      <w:r>
        <w:rPr>
          <w:rFonts w:ascii="IBM Plex Sans" w:cs="IBM Plex Sans" w:eastAsia="IBM Plex Sans" w:hAnsi="IBM Plex Sans"/>
          <w:color w:val="3A3A3C"/>
          <w:sz w:val="18"/>
          <w:szCs w:val="18"/>
        </w:rPr>
        <w:t xml:space="preserve">This document contains confidential and proprietary information of Analytics2Go, Inc. ("A2go"). It is provided solely for the use of the intended recipient and may not be reproduced, distributed, or disclosed, in whole or in part, without the prior written consent of Analytics2Go, Inc.</w:t>
      </w:r>
    </w:p>
    <w:p>
      <w:pPr>
        <w:spacing w:before="40"/>
      </w:pPr>
      <w:r>
        <w:rPr>
          <w:rFonts w:ascii="IBM Plex Sans" w:cs="IBM Plex Sans" w:eastAsia="IBM Plex Sans" w:hAnsi="IBM Plex Sans"/>
          <w:i/>
          <w:iCs/>
          <w:color w:val="6E6E73"/>
          <w:sz w:val="15"/>
          <w:szCs w:val="15"/>
        </w:rPr>
        <w:t xml:space="preserve">→ Keep for anything not cleared for public release. Delete only for content published deliberately (website copy, public white papers).</w:t>
      </w:r>
    </w:p>
    <w:p>
      <w:pPr>
        <w:spacing w:after="80" w:before="240"/>
      </w:pPr>
      <w:r>
        <w:rPr>
          <w:rFonts w:ascii="IBM Plex Mono" w:cs="IBM Plex Mono" w:eastAsia="IBM Plex Mono" w:hAnsi="IBM Plex Mono"/>
          <w:color w:val="00707A"/>
          <w:sz w:val="16"/>
          <w:szCs w:val="16"/>
        </w:rPr>
        <w:t xml:space="preserve">DISCLAIMER</w:t>
      </w:r>
    </w:p>
    <w:p>
      <w:r>
        <w:rPr>
          <w:rFonts w:ascii="IBM Plex Sans" w:cs="IBM Plex Sans" w:eastAsia="IBM Plex Sans" w:hAnsi="IBM Plex Sans"/>
          <w:color w:val="3A3A3C"/>
          <w:sz w:val="18"/>
          <w:szCs w:val="18"/>
        </w:rPr>
        <w:t xml:space="preserve">This material is provided for informational purposes only. Analytics2Go, Inc. makes no representations or warranties, express or implied, as to its accuracy or completeness, and undertakes no obligation to update it. It does not constitute legal, tax, accounting, or other professional advice; recipients should consult their own advisors.</w:t>
      </w:r>
    </w:p>
    <w:p>
      <w:pPr>
        <w:spacing w:before="40"/>
      </w:pPr>
      <w:r>
        <w:rPr>
          <w:rFonts w:ascii="IBM Plex Sans" w:cs="IBM Plex Sans" w:eastAsia="IBM Plex Sans" w:hAnsi="IBM Plex Sans"/>
          <w:i/>
          <w:iCs/>
          <w:color w:val="6E6E73"/>
          <w:sz w:val="15"/>
          <w:szCs w:val="15"/>
        </w:rPr>
        <w:t xml:space="preserve">→ Keep in everything shared outside the company. May be deleted for internal working documents.</w:t>
      </w:r>
    </w:p>
    <w:p>
      <w:pPr>
        <w:spacing w:after="80" w:before="240"/>
      </w:pPr>
      <w:r>
        <w:rPr>
          <w:rFonts w:ascii="IBM Plex Mono" w:cs="IBM Plex Mono" w:eastAsia="IBM Plex Mono" w:hAnsi="IBM Plex Mono"/>
          <w:color w:val="00707A"/>
          <w:sz w:val="16"/>
          <w:szCs w:val="16"/>
        </w:rPr>
        <w:t xml:space="preserve">FORWARD-LOOKING STATEMENTS</w:t>
      </w:r>
    </w:p>
    <w:p>
      <w:r>
        <w:rPr>
          <w:rFonts w:ascii="IBM Plex Sans" w:cs="IBM Plex Sans" w:eastAsia="IBM Plex Sans" w:hAnsi="IBM Plex Sans"/>
          <w:color w:val="3A3A3C"/>
          <w:sz w:val="18"/>
          <w:szCs w:val="18"/>
        </w:rPr>
        <w:t xml:space="preserve">Statements regarding A2go's plans, directions, product roadmap, and intent are subject to change or withdrawal without notice at the sole discretion of Analytics2Go, Inc. Information about potential future products or capabilities is intended to outline general direction only, should not be relied upon in making a purchasing decision, and is not a commitment, promise, or legal obligation to deliver any material, code, or functionality.</w:t>
      </w:r>
    </w:p>
    <w:p>
      <w:pPr>
        <w:spacing w:before="40"/>
      </w:pPr>
      <w:r>
        <w:rPr>
          <w:rFonts w:ascii="IBM Plex Sans" w:cs="IBM Plex Sans" w:eastAsia="IBM Plex Sans" w:hAnsi="IBM Plex Sans"/>
          <w:i/>
          <w:iCs/>
          <w:color w:val="6E6E73"/>
          <w:sz w:val="15"/>
          <w:szCs w:val="15"/>
        </w:rPr>
        <w:t xml:space="preserve">→ Keep in any document that mentions plans, roadmap, timelines, or future capabilities. May be deleted from purely historical or administrative documents.</w:t>
      </w:r>
    </w:p>
    <w:p>
      <w:pPr>
        <w:spacing w:after="80" w:before="240"/>
      </w:pPr>
      <w:r>
        <w:rPr>
          <w:rFonts w:ascii="IBM Plex Mono" w:cs="IBM Plex Mono" w:eastAsia="IBM Plex Mono" w:hAnsi="IBM Plex Mono"/>
          <w:color w:val="00707A"/>
          <w:sz w:val="16"/>
          <w:szCs w:val="16"/>
        </w:rPr>
        <w:t xml:space="preserve">ILLUSTRATIVE RESULTS</w:t>
      </w:r>
    </w:p>
    <w:p>
      <w:r>
        <w:rPr>
          <w:rFonts w:ascii="IBM Plex Sans" w:cs="IBM Plex Sans" w:eastAsia="IBM Plex Sans" w:hAnsi="IBM Plex Sans"/>
          <w:color w:val="3A3A3C"/>
          <w:sz w:val="18"/>
          <w:szCs w:val="18"/>
        </w:rPr>
        <w:t xml:space="preserve">Any examples, outcomes, or performance figures described are illustrative, reflect specific environments and conditions, and are not a guarantee of comparable results. Actual results depend on each organization's configurations, data, and operating conditions.</w:t>
      </w:r>
    </w:p>
    <w:p>
      <w:pPr>
        <w:spacing w:before="40"/>
      </w:pPr>
      <w:r>
        <w:rPr>
          <w:rFonts w:ascii="IBM Plex Sans" w:cs="IBM Plex Sans" w:eastAsia="IBM Plex Sans" w:hAnsi="IBM Plex Sans"/>
          <w:i/>
          <w:iCs/>
          <w:color w:val="6E6E73"/>
          <w:sz w:val="15"/>
          <w:szCs w:val="15"/>
        </w:rPr>
        <w:t xml:space="preserve">→ Keep wherever customer examples, metrics, benchmarks, or outcomes appear — even qualitative ones. May be deleted when the document contains no results content.</w:t>
      </w:r>
    </w:p>
    <w:p>
      <w:pPr>
        <w:spacing w:after="80" w:before="240"/>
      </w:pPr>
      <w:r>
        <w:rPr>
          <w:rFonts w:ascii="IBM Plex Mono" w:cs="IBM Plex Mono" w:eastAsia="IBM Plex Mono" w:hAnsi="IBM Plex Mono"/>
          <w:color w:val="00707A"/>
          <w:sz w:val="16"/>
          <w:szCs w:val="16"/>
        </w:rPr>
        <w:t xml:space="preserve">TRADEMARKS</w:t>
      </w:r>
    </w:p>
    <w:p>
      <w:r>
        <w:rPr>
          <w:rFonts w:ascii="IBM Plex Sans" w:cs="IBM Plex Sans" w:eastAsia="IBM Plex Sans" w:hAnsi="IBM Plex Sans"/>
          <w:color w:val="3A3A3C"/>
          <w:sz w:val="18"/>
          <w:szCs w:val="18"/>
        </w:rPr>
        <w:t xml:space="preserve">A2go, the A2go mark, and A2go Decision Intelligence Platform (ADIP) are trademarks of Analytics2Go, Inc. SCOR® is a registered trademark of the Association for Supply Chain Management (ASCM). All other marks are the property of their respective owners.</w:t>
      </w:r>
    </w:p>
    <w:p>
      <w:pPr>
        <w:spacing w:before="40"/>
      </w:pPr>
      <w:r>
        <w:rPr>
          <w:rFonts w:ascii="IBM Plex Sans" w:cs="IBM Plex Sans" w:eastAsia="IBM Plex Sans" w:hAnsi="IBM Plex Sans"/>
          <w:i/>
          <w:iCs/>
          <w:color w:val="6E6E73"/>
          <w:sz w:val="15"/>
          <w:szCs w:val="15"/>
        </w:rPr>
        <w:t xml:space="preserve">→ Keep everywhere. Delete the SCOR® sentence only if the document makes no SCOR reference.</w:t>
      </w:r>
    </w:p>
    <w:p>
      <w:pPr>
        <w:spacing w:before="240"/>
      </w:pPr>
      <w:r>
        <w:rPr>
          <w:rFonts w:ascii="IBM Plex Mono" w:cs="IBM Plex Mono" w:eastAsia="IBM Plex Mono" w:hAnsi="IBM Plex Mono"/>
          <w:color w:val="6E6E73"/>
          <w:sz w:val="16"/>
          <w:szCs w:val="16"/>
        </w:rPr>
        <w:t xml:space="preserve">Analytics2Go, Inc · a2go.ai</w:t>
      </w:r>
    </w:p>
    <w:p>
      <w:pPr>
        <w:pageBreakBefore/>
        <w:pBdr>
          <w:bottom w:val="single" w:color="D2D2D7" w:sz="6" w:space="4"/>
        </w:pBdr>
        <w:spacing w:after="60"/>
      </w:pPr>
      <w:r>
        <w:rPr>
          <w:rFonts w:ascii="IBM Plex Mono" w:cs="IBM Plex Mono" w:eastAsia="IBM Plex Mono" w:hAnsi="IBM Plex Mono"/>
          <w:color w:val="6E6E73"/>
          <w:sz w:val="16"/>
          <w:szCs w:val="16"/>
        </w:rPr>
        <w:t xml:space="preserve">SAMPLE — LETTER (letterhead)</w:t>
      </w:r>
    </w:p>
    <w:p>
      <w:pPr>
        <w:spacing w:after="60" w:before="200"/>
      </w:pPr>
      <w:r>
        <w:drawing>
          <wp:inline distT="0" distB="0" distL="0" distR="0">
            <wp:extent cx="1428750" cy="4191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1428750" cy="419100"/>
                    </a:xfrm>
                    <a:prstGeom prst="rect">
                      <a:avLst/>
                    </a:prstGeom>
                  </pic:spPr>
                </pic:pic>
              </a:graphicData>
            </a:graphic>
          </wp:inline>
        </w:drawing>
      </w:r>
    </w:p>
    <w:p>
      <w:pPr>
        <w:pBdr>
          <w:bottom w:val="single" w:color="00707A" w:sz="12" w:space="6"/>
        </w:pBdr>
        <w:spacing w:after="480"/>
      </w:pPr>
      <w:r>
        <w:rPr>
          <w:rFonts w:ascii="IBM Plex Mono" w:cs="IBM Plex Mono" w:eastAsia="IBM Plex Mono" w:hAnsi="IBM Plex Mono"/>
          <w:color w:val="6E6E73"/>
          <w:sz w:val="16"/>
          <w:szCs w:val="16"/>
        </w:rPr>
        <w:t xml:space="preserve">Analytics2Go, Inc. · a2go.ai · contact@a2go.ai</w:t>
      </w:r>
    </w:p>
    <w:p>
      <w:pPr>
        <w:spacing w:after="360"/>
      </w:pPr>
      <w:r>
        <w:rPr>
          <w:rFonts w:ascii="IBM Plex Sans" w:cs="IBM Plex Sans" w:eastAsia="IBM Plex Sans" w:hAnsi="IBM Plex Sans"/>
          <w:color w:val="1D1D1F"/>
          <w:sz w:val="22"/>
          <w:szCs w:val="22"/>
        </w:rPr>
        <w:t xml:space="preserve">13 July 2026</w:t>
      </w:r>
    </w:p>
    <w:p>
      <w:r>
        <w:rPr>
          <w:rFonts w:ascii="IBM Plex Sans" w:cs="IBM Plex Sans" w:eastAsia="IBM Plex Sans" w:hAnsi="IBM Plex Sans"/>
          <w:color w:val="1D1D1F"/>
          <w:sz w:val="22"/>
          <w:szCs w:val="22"/>
        </w:rPr>
        <w:t xml:space="preserve">Recipient name</w:t>
      </w:r>
    </w:p>
    <w:p>
      <w:r>
        <w:rPr>
          <w:rFonts w:ascii="IBM Plex Sans" w:cs="IBM Plex Sans" w:eastAsia="IBM Plex Sans" w:hAnsi="IBM Plex Sans"/>
          <w:color w:val="1D1D1F"/>
          <w:sz w:val="22"/>
          <w:szCs w:val="22"/>
        </w:rPr>
        <w:t xml:space="preserve">Title</w:t>
      </w:r>
    </w:p>
    <w:p>
      <w:r>
        <w:rPr>
          <w:rFonts w:ascii="IBM Plex Sans" w:cs="IBM Plex Sans" w:eastAsia="IBM Plex Sans" w:hAnsi="IBM Plex Sans"/>
          <w:color w:val="1D1D1F"/>
          <w:sz w:val="22"/>
          <w:szCs w:val="22"/>
        </w:rPr>
        <w:t xml:space="preserve">Company</w:t>
      </w:r>
    </w:p>
    <w:p>
      <w:pPr>
        <w:spacing w:after="360"/>
      </w:pPr>
      <w:r>
        <w:rPr>
          <w:rFonts w:ascii="IBM Plex Sans" w:cs="IBM Plex Sans" w:eastAsia="IBM Plex Sans" w:hAnsi="IBM Plex Sans"/>
          <w:color w:val="1D1D1F"/>
          <w:sz w:val="22"/>
          <w:szCs w:val="22"/>
        </w:rPr>
        <w:t xml:space="preserve">Address line</w:t>
      </w:r>
    </w:p>
    <w:p>
      <w:pPr>
        <w:spacing w:after="240"/>
      </w:pPr>
      <w:r>
        <w:rPr>
          <w:rFonts w:ascii="IBM Plex Sans" w:cs="IBM Plex Sans" w:eastAsia="IBM Plex Sans" w:hAnsi="IBM Plex Sans"/>
          <w:color w:val="1D1D1F"/>
          <w:sz w:val="22"/>
          <w:szCs w:val="22"/>
        </w:rPr>
        <w:t xml:space="preserve">Dear Recipient,</w:t>
      </w:r>
    </w:p>
    <w:p>
      <w:pPr>
        <w:spacing w:after="240"/>
      </w:pPr>
      <w:r>
        <w:rPr>
          <w:rFonts w:ascii="IBM Plex Sans" w:cs="IBM Plex Sans" w:eastAsia="IBM Plex Sans" w:hAnsi="IBM Plex Sans"/>
          <w:color w:val="1D1D1F"/>
          <w:sz w:val="22"/>
          <w:szCs w:val="22"/>
        </w:rPr>
        <w:t xml:space="preserve">Body of the letter in IBM Plex Sans at 11 pt. Keep paragraphs short and the ask explicit. This page is the letterhead sample — the rule under the masthead is Signal Teal, and the sender line is set in IBM Plex Mono.</w:t>
      </w:r>
    </w:p>
    <w:p>
      <w:pPr>
        <w:spacing w:after="480"/>
      </w:pPr>
      <w:r>
        <w:rPr>
          <w:rFonts w:ascii="IBM Plex Sans" w:cs="IBM Plex Sans" w:eastAsia="IBM Plex Sans" w:hAnsi="IBM Plex Sans"/>
          <w:color w:val="1D1D1F"/>
          <w:sz w:val="22"/>
          <w:szCs w:val="22"/>
        </w:rPr>
        <w:t xml:space="preserve">A second paragraph if needed. Close with the specific next step you are asking the recipient to take.</w:t>
      </w:r>
    </w:p>
    <w:p>
      <w:pPr>
        <w:spacing w:after="480"/>
      </w:pPr>
      <w:r>
        <w:rPr>
          <w:rFonts w:ascii="IBM Plex Sans" w:cs="IBM Plex Sans" w:eastAsia="IBM Plex Sans" w:hAnsi="IBM Plex Sans"/>
          <w:color w:val="1D1D1F"/>
          <w:sz w:val="22"/>
          <w:szCs w:val="22"/>
        </w:rPr>
        <w:t xml:space="preserve">Sincerely,</w:t>
      </w:r>
    </w:p>
    <w:p>
      <w:r>
        <w:rPr>
          <w:rFonts w:ascii="IBM Plex Sans" w:cs="IBM Plex Sans" w:eastAsia="IBM Plex Sans" w:hAnsi="IBM Plex Sans"/>
          <w:b/>
          <w:bCs/>
          <w:color w:val="1D1D1F"/>
          <w:sz w:val="22"/>
          <w:szCs w:val="22"/>
        </w:rPr>
        <w:t xml:space="preserve">Sender name</w:t>
      </w:r>
    </w:p>
    <w:p>
      <w:r>
        <w:rPr>
          <w:rFonts w:ascii="IBM Plex Sans" w:cs="IBM Plex Sans" w:eastAsia="IBM Plex Sans" w:hAnsi="IBM Plex Sans"/>
          <w:color w:val="3A3A3C"/>
          <w:sz w:val="22"/>
          <w:szCs w:val="22"/>
        </w:rPr>
        <w:t xml:space="preserve">Title · Analytics2Go, Inc.</w:t>
      </w:r>
    </w:p>
    <w:p>
      <w:pPr>
        <w:pageBreakBefore/>
        <w:pBdr>
          <w:bottom w:val="single" w:color="D2D2D7" w:sz="6" w:space="4"/>
        </w:pBdr>
        <w:spacing w:after="60"/>
      </w:pPr>
      <w:r>
        <w:rPr>
          <w:rFonts w:ascii="IBM Plex Mono" w:cs="IBM Plex Mono" w:eastAsia="IBM Plex Mono" w:hAnsi="IBM Plex Mono"/>
          <w:color w:val="6E6E73"/>
          <w:sz w:val="16"/>
          <w:szCs w:val="16"/>
        </w:rPr>
        <w:t xml:space="preserve">SAMPLE — INTERNAL MEMORANDUM</w:t>
      </w:r>
    </w:p>
    <w:p>
      <w:pPr>
        <w:spacing w:after="60" w:before="200"/>
      </w:pPr>
      <w:r>
        <w:rPr>
          <w:rFonts w:ascii="IBM Plex Serif" w:cs="IBM Plex Serif" w:eastAsia="IBM Plex Serif" w:hAnsi="IBM Plex Serif"/>
          <w:b/>
          <w:bCs/>
          <w:color w:val="06243F"/>
          <w:sz w:val="40"/>
          <w:szCs w:val="40"/>
        </w:rPr>
        <w:t xml:space="preserve">Memorandum</w:t>
      </w:r>
    </w:p>
    <w:p>
      <w:pPr>
        <w:spacing w:after="240"/>
      </w:pPr>
      <w:r>
        <w:rPr>
          <w:rFonts w:ascii="IBM Plex Mono" w:cs="IBM Plex Mono" w:eastAsia="IBM Plex Mono" w:hAnsi="IBM Plex Mono"/>
          <w:color w:val="6E6E73"/>
          <w:sz w:val="16"/>
          <w:szCs w:val="16"/>
        </w:rPr>
        <w:t xml:space="preserve">Internal — Confidential &amp; Proprietary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800"/>
        <w:gridCol w:w="7560"/>
      </w:tblGrid>
      <w:tr>
        <w:tc>
          <w:tcPr>
            <w:tcW w:type="dxa" w:w="1800"/>
            <w:tcBorders>
              <w:top w:val="single" w:color="D8DADC" w:sz="1"/>
              <w:left w:val="single" w:color="D8DADC" w:sz="1"/>
              <w:bottom w:val="single" w:color="D8DADC" w:sz="1"/>
              <w:right w:val="single" w:color="D8DADC" w:sz="1"/>
            </w:tcBorders>
            <w:shd w:fill="F5F5F7" w:val="clear"/>
            <w:tcMar>
              <w:top w:type="dxa" w:w="80"/>
              <w:left w:type="dxa" w:w="120"/>
              <w:bottom w:type="dxa" w:w="80"/>
              <w:right w:type="dxa" w:w="120"/>
            </w:tcMar>
          </w:tcPr>
          <w:p>
            <w:r>
              <w:rPr>
                <w:rFonts w:ascii="IBM Plex Mono" w:cs="IBM Plex Mono" w:eastAsia="IBM Plex Mono" w:hAnsi="IBM Plex Mono"/>
                <w:color w:val="00707A"/>
                <w:sz w:val="18"/>
                <w:szCs w:val="18"/>
              </w:rPr>
              <w:t xml:space="preserve">TO</w:t>
            </w:r>
          </w:p>
        </w:tc>
        <w:tc>
          <w:tcPr>
            <w:tcW w:type="dxa" w:w="75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1"/>
                <w:szCs w:val="21"/>
              </w:rPr>
              <w:t xml:space="preserve">Distribution or names</w:t>
            </w:r>
          </w:p>
        </w:tc>
      </w:tr>
      <w:tr>
        <w:tc>
          <w:tcPr>
            <w:tcW w:type="dxa" w:w="1800"/>
            <w:tcBorders>
              <w:top w:val="single" w:color="D8DADC" w:sz="1"/>
              <w:left w:val="single" w:color="D8DADC" w:sz="1"/>
              <w:bottom w:val="single" w:color="D8DADC" w:sz="1"/>
              <w:right w:val="single" w:color="D8DADC" w:sz="1"/>
            </w:tcBorders>
            <w:shd w:fill="F5F5F7" w:val="clear"/>
            <w:tcMar>
              <w:top w:type="dxa" w:w="80"/>
              <w:left w:type="dxa" w:w="120"/>
              <w:bottom w:type="dxa" w:w="80"/>
              <w:right w:type="dxa" w:w="120"/>
            </w:tcMar>
          </w:tcPr>
          <w:p>
            <w:r>
              <w:rPr>
                <w:rFonts w:ascii="IBM Plex Mono" w:cs="IBM Plex Mono" w:eastAsia="IBM Plex Mono" w:hAnsi="IBM Plex Mono"/>
                <w:color w:val="00707A"/>
                <w:sz w:val="18"/>
                <w:szCs w:val="18"/>
              </w:rPr>
              <w:t xml:space="preserve">FROM</w:t>
            </w:r>
          </w:p>
        </w:tc>
        <w:tc>
          <w:tcPr>
            <w:tcW w:type="dxa" w:w="75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1"/>
                <w:szCs w:val="21"/>
              </w:rPr>
              <w:t xml:space="preserve">Author, title</w:t>
            </w:r>
          </w:p>
        </w:tc>
      </w:tr>
      <w:tr>
        <w:tc>
          <w:tcPr>
            <w:tcW w:type="dxa" w:w="1800"/>
            <w:tcBorders>
              <w:top w:val="single" w:color="D8DADC" w:sz="1"/>
              <w:left w:val="single" w:color="D8DADC" w:sz="1"/>
              <w:bottom w:val="single" w:color="D8DADC" w:sz="1"/>
              <w:right w:val="single" w:color="D8DADC" w:sz="1"/>
            </w:tcBorders>
            <w:shd w:fill="F5F5F7" w:val="clear"/>
            <w:tcMar>
              <w:top w:type="dxa" w:w="80"/>
              <w:left w:type="dxa" w:w="120"/>
              <w:bottom w:type="dxa" w:w="80"/>
              <w:right w:type="dxa" w:w="120"/>
            </w:tcMar>
          </w:tcPr>
          <w:p>
            <w:r>
              <w:rPr>
                <w:rFonts w:ascii="IBM Plex Mono" w:cs="IBM Plex Mono" w:eastAsia="IBM Plex Mono" w:hAnsi="IBM Plex Mono"/>
                <w:color w:val="00707A"/>
                <w:sz w:val="18"/>
                <w:szCs w:val="18"/>
              </w:rPr>
              <w:t xml:space="preserve">DATE</w:t>
            </w:r>
          </w:p>
        </w:tc>
        <w:tc>
          <w:tcPr>
            <w:tcW w:type="dxa" w:w="75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1"/>
                <w:szCs w:val="21"/>
              </w:rPr>
              <w:t xml:space="preserve">13 July 2026</w:t>
            </w:r>
          </w:p>
        </w:tc>
      </w:tr>
      <w:tr>
        <w:tc>
          <w:tcPr>
            <w:tcW w:type="dxa" w:w="1800"/>
            <w:tcBorders>
              <w:top w:val="single" w:color="D8DADC" w:sz="1"/>
              <w:left w:val="single" w:color="D8DADC" w:sz="1"/>
              <w:bottom w:val="single" w:color="D8DADC" w:sz="1"/>
              <w:right w:val="single" w:color="D8DADC" w:sz="1"/>
            </w:tcBorders>
            <w:shd w:fill="F5F5F7" w:val="clear"/>
            <w:tcMar>
              <w:top w:type="dxa" w:w="80"/>
              <w:left w:type="dxa" w:w="120"/>
              <w:bottom w:type="dxa" w:w="80"/>
              <w:right w:type="dxa" w:w="120"/>
            </w:tcMar>
          </w:tcPr>
          <w:p>
            <w:r>
              <w:rPr>
                <w:rFonts w:ascii="IBM Plex Mono" w:cs="IBM Plex Mono" w:eastAsia="IBM Plex Mono" w:hAnsi="IBM Plex Mono"/>
                <w:color w:val="00707A"/>
                <w:sz w:val="18"/>
                <w:szCs w:val="18"/>
              </w:rPr>
              <w:t xml:space="preserve">RE</w:t>
            </w:r>
          </w:p>
        </w:tc>
        <w:tc>
          <w:tcPr>
            <w:tcW w:type="dxa" w:w="75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1"/>
                <w:szCs w:val="21"/>
              </w:rPr>
              <w:t xml:space="preserve">Subject of the memorandum</w:t>
            </w:r>
          </w:p>
        </w:tc>
      </w:tr>
    </w:tbl>
    <w:p>
      <w:pPr>
        <w:spacing w:after="240" w:before="360"/>
      </w:pPr>
      <w:r>
        <w:rPr>
          <w:rFonts w:ascii="IBM Plex Sans" w:cs="IBM Plex Sans" w:eastAsia="IBM Plex Sans" w:hAnsi="IBM Plex Sans"/>
          <w:color w:val="1D1D1F"/>
          <w:sz w:val="22"/>
          <w:szCs w:val="22"/>
        </w:rPr>
        <w:t xml:space="preserve">Open with the decision or information the reader needs — a memo leads with the conclusion. Supporting context follows in order of importance.</w:t>
      </w:r>
    </w:p>
    <w:p>
      <w:pPr>
        <w:spacing w:after="240"/>
      </w:pPr>
      <w:r>
        <w:rPr>
          <w:rFonts w:ascii="IBM Plex Sans" w:cs="IBM Plex Sans" w:eastAsia="IBM Plex Sans" w:hAnsi="IBM Plex Sans"/>
          <w:color w:val="1D1D1F"/>
          <w:sz w:val="22"/>
          <w:szCs w:val="22"/>
        </w:rPr>
        <w:t xml:space="preserve">Second block: implications, owners, and dates. Bullet lists are fine; keep them parallel.</w:t>
      </w:r>
    </w:p>
    <w:p>
      <w:r>
        <w:rPr>
          <w:rFonts w:ascii="IBM Plex Sans" w:cs="IBM Plex Sans" w:eastAsia="IBM Plex Sans" w:hAnsi="IBM Plex Sans"/>
          <w:i/>
          <w:iCs/>
          <w:color w:val="6E6E73"/>
          <w:sz w:val="18"/>
          <w:szCs w:val="18"/>
        </w:rPr>
        <w:t xml:space="preserve">Distribution: file · retention per policy.</w:t>
      </w:r>
    </w:p>
    <w:p>
      <w:pPr>
        <w:pageBreakBefore/>
        <w:pBdr>
          <w:bottom w:val="single" w:color="D2D2D7" w:sz="6" w:space="4"/>
        </w:pBdr>
        <w:spacing w:after="60"/>
      </w:pPr>
      <w:r>
        <w:rPr>
          <w:rFonts w:ascii="IBM Plex Mono" w:cs="IBM Plex Mono" w:eastAsia="IBM Plex Mono" w:hAnsi="IBM Plex Mono"/>
          <w:color w:val="6E6E73"/>
          <w:sz w:val="16"/>
          <w:szCs w:val="16"/>
        </w:rPr>
        <w:t xml:space="preserve">SAMPLE — INTERNAL POLICY</w:t>
      </w:r>
    </w:p>
    <w:p>
      <w:pPr>
        <w:spacing w:after="60" w:before="200"/>
      </w:pPr>
      <w:r>
        <w:rPr>
          <w:rFonts w:ascii="IBM Plex Serif" w:cs="IBM Plex Serif" w:eastAsia="IBM Plex Serif" w:hAnsi="IBM Plex Serif"/>
          <w:b/>
          <w:bCs/>
          <w:color w:val="06243F"/>
          <w:sz w:val="40"/>
          <w:szCs w:val="40"/>
        </w:rPr>
        <w:t xml:space="preserve">Policy title</w:t>
      </w:r>
    </w:p>
    <w:p>
      <w:pPr>
        <w:spacing w:after="240"/>
      </w:pPr>
      <w:r>
        <w:rPr>
          <w:rFonts w:ascii="IBM Plex Mono" w:cs="IBM Plex Mono" w:eastAsia="IBM Plex Mono" w:hAnsi="IBM Plex Mono"/>
          <w:color w:val="6E6E73"/>
          <w:sz w:val="16"/>
          <w:szCs w:val="16"/>
        </w:rPr>
        <w:t xml:space="preserve">Internal — Confidential &amp; Proprietary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800"/>
        <w:gridCol w:w="7560"/>
      </w:tblGrid>
      <w:tr>
        <w:tc>
          <w:tcPr>
            <w:tcW w:type="dxa" w:w="1800"/>
            <w:tcBorders>
              <w:top w:val="single" w:color="D8DADC" w:sz="1"/>
              <w:left w:val="single" w:color="D8DADC" w:sz="1"/>
              <w:bottom w:val="single" w:color="D8DADC" w:sz="1"/>
              <w:right w:val="single" w:color="D8DADC" w:sz="1"/>
            </w:tcBorders>
            <w:shd w:fill="F5F5F7" w:val="clear"/>
            <w:tcMar>
              <w:top w:type="dxa" w:w="80"/>
              <w:left w:type="dxa" w:w="120"/>
              <w:bottom w:type="dxa" w:w="80"/>
              <w:right w:type="dxa" w:w="120"/>
            </w:tcMar>
          </w:tcPr>
          <w:p>
            <w:r>
              <w:rPr>
                <w:rFonts w:ascii="IBM Plex Mono" w:cs="IBM Plex Mono" w:eastAsia="IBM Plex Mono" w:hAnsi="IBM Plex Mono"/>
                <w:color w:val="00707A"/>
                <w:sz w:val="18"/>
                <w:szCs w:val="18"/>
              </w:rPr>
              <w:t xml:space="preserve">POLICY NO.</w:t>
            </w:r>
          </w:p>
        </w:tc>
        <w:tc>
          <w:tcPr>
            <w:tcW w:type="dxa" w:w="75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1"/>
                <w:szCs w:val="21"/>
              </w:rPr>
              <w:t xml:space="preserve">A2GO-POL-001</w:t>
            </w:r>
          </w:p>
        </w:tc>
      </w:tr>
      <w:tr>
        <w:tc>
          <w:tcPr>
            <w:tcW w:type="dxa" w:w="1800"/>
            <w:tcBorders>
              <w:top w:val="single" w:color="D8DADC" w:sz="1"/>
              <w:left w:val="single" w:color="D8DADC" w:sz="1"/>
              <w:bottom w:val="single" w:color="D8DADC" w:sz="1"/>
              <w:right w:val="single" w:color="D8DADC" w:sz="1"/>
            </w:tcBorders>
            <w:shd w:fill="F5F5F7" w:val="clear"/>
            <w:tcMar>
              <w:top w:type="dxa" w:w="80"/>
              <w:left w:type="dxa" w:w="120"/>
              <w:bottom w:type="dxa" w:w="80"/>
              <w:right w:type="dxa" w:w="120"/>
            </w:tcMar>
          </w:tcPr>
          <w:p>
            <w:r>
              <w:rPr>
                <w:rFonts w:ascii="IBM Plex Mono" w:cs="IBM Plex Mono" w:eastAsia="IBM Plex Mono" w:hAnsi="IBM Plex Mono"/>
                <w:color w:val="00707A"/>
                <w:sz w:val="18"/>
                <w:szCs w:val="18"/>
              </w:rPr>
              <w:t xml:space="preserve">OWNER</w:t>
            </w:r>
          </w:p>
        </w:tc>
        <w:tc>
          <w:tcPr>
            <w:tcW w:type="dxa" w:w="75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1"/>
                <w:szCs w:val="21"/>
              </w:rPr>
              <w:t xml:space="preserve">Role, not a person</w:t>
            </w:r>
          </w:p>
        </w:tc>
      </w:tr>
      <w:tr>
        <w:tc>
          <w:tcPr>
            <w:tcW w:type="dxa" w:w="1800"/>
            <w:tcBorders>
              <w:top w:val="single" w:color="D8DADC" w:sz="1"/>
              <w:left w:val="single" w:color="D8DADC" w:sz="1"/>
              <w:bottom w:val="single" w:color="D8DADC" w:sz="1"/>
              <w:right w:val="single" w:color="D8DADC" w:sz="1"/>
            </w:tcBorders>
            <w:shd w:fill="F5F5F7" w:val="clear"/>
            <w:tcMar>
              <w:top w:type="dxa" w:w="80"/>
              <w:left w:type="dxa" w:w="120"/>
              <w:bottom w:type="dxa" w:w="80"/>
              <w:right w:type="dxa" w:w="120"/>
            </w:tcMar>
          </w:tcPr>
          <w:p>
            <w:r>
              <w:rPr>
                <w:rFonts w:ascii="IBM Plex Mono" w:cs="IBM Plex Mono" w:eastAsia="IBM Plex Mono" w:hAnsi="IBM Plex Mono"/>
                <w:color w:val="00707A"/>
                <w:sz w:val="18"/>
                <w:szCs w:val="18"/>
              </w:rPr>
              <w:t xml:space="preserve">EFFECTIVE</w:t>
            </w:r>
          </w:p>
        </w:tc>
        <w:tc>
          <w:tcPr>
            <w:tcW w:type="dxa" w:w="75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1"/>
                <w:szCs w:val="21"/>
              </w:rPr>
              <w:t xml:space="preserve">1 August 2026</w:t>
            </w:r>
          </w:p>
        </w:tc>
      </w:tr>
      <w:tr>
        <w:tc>
          <w:tcPr>
            <w:tcW w:type="dxa" w:w="1800"/>
            <w:tcBorders>
              <w:top w:val="single" w:color="D8DADC" w:sz="1"/>
              <w:left w:val="single" w:color="D8DADC" w:sz="1"/>
              <w:bottom w:val="single" w:color="D8DADC" w:sz="1"/>
              <w:right w:val="single" w:color="D8DADC" w:sz="1"/>
            </w:tcBorders>
            <w:shd w:fill="F5F5F7" w:val="clear"/>
            <w:tcMar>
              <w:top w:type="dxa" w:w="80"/>
              <w:left w:type="dxa" w:w="120"/>
              <w:bottom w:type="dxa" w:w="80"/>
              <w:right w:type="dxa" w:w="120"/>
            </w:tcMar>
          </w:tcPr>
          <w:p>
            <w:r>
              <w:rPr>
                <w:rFonts w:ascii="IBM Plex Mono" w:cs="IBM Plex Mono" w:eastAsia="IBM Plex Mono" w:hAnsi="IBM Plex Mono"/>
                <w:color w:val="00707A"/>
                <w:sz w:val="18"/>
                <w:szCs w:val="18"/>
              </w:rPr>
              <w:t xml:space="preserve">REVIEW</w:t>
            </w:r>
          </w:p>
        </w:tc>
        <w:tc>
          <w:tcPr>
            <w:tcW w:type="dxa" w:w="75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1"/>
                <w:szCs w:val="21"/>
              </w:rPr>
              <w:t xml:space="preserve">Annual</w:t>
            </w:r>
          </w:p>
        </w:tc>
      </w:tr>
      <w:tr>
        <w:tc>
          <w:tcPr>
            <w:tcW w:type="dxa" w:w="1800"/>
            <w:tcBorders>
              <w:top w:val="single" w:color="D8DADC" w:sz="1"/>
              <w:left w:val="single" w:color="D8DADC" w:sz="1"/>
              <w:bottom w:val="single" w:color="D8DADC" w:sz="1"/>
              <w:right w:val="single" w:color="D8DADC" w:sz="1"/>
            </w:tcBorders>
            <w:shd w:fill="F5F5F7" w:val="clear"/>
            <w:tcMar>
              <w:top w:type="dxa" w:w="80"/>
              <w:left w:type="dxa" w:w="120"/>
              <w:bottom w:type="dxa" w:w="80"/>
              <w:right w:type="dxa" w:w="120"/>
            </w:tcMar>
          </w:tcPr>
          <w:p>
            <w:r>
              <w:rPr>
                <w:rFonts w:ascii="IBM Plex Mono" w:cs="IBM Plex Mono" w:eastAsia="IBM Plex Mono" w:hAnsi="IBM Plex Mono"/>
                <w:color w:val="00707A"/>
                <w:sz w:val="18"/>
                <w:szCs w:val="18"/>
              </w:rPr>
              <w:t xml:space="preserve">VERSION</w:t>
            </w:r>
          </w:p>
        </w:tc>
        <w:tc>
          <w:tcPr>
            <w:tcW w:type="dxa" w:w="75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1"/>
                <w:szCs w:val="21"/>
              </w:rPr>
              <w:t xml:space="preserve">1.0</w:t>
            </w:r>
          </w:p>
        </w:tc>
      </w:tr>
    </w:tbl>
    <w:p>
      <w:pPr>
        <w:pStyle w:val="Heading2"/>
      </w:pPr>
      <w:r>
        <w:rPr>
          <w:rFonts w:ascii="IBM Plex Serif" w:cs="IBM Plex Serif" w:eastAsia="IBM Plex Serif" w:hAnsi="IBM Plex Serif"/>
          <w:b/>
          <w:bCs/>
          <w:color w:val="00707A"/>
          <w:sz w:val="27"/>
          <w:szCs w:val="27"/>
        </w:rPr>
        <w:t xml:space="preserve">1. Purpose</w:t>
      </w:r>
    </w:p>
    <w:p>
      <w:pPr>
        <w:spacing w:after="200"/>
      </w:pPr>
      <w:r>
        <w:rPr>
          <w:rFonts w:ascii="IBM Plex Sans" w:cs="IBM Plex Sans" w:eastAsia="IBM Plex Sans" w:hAnsi="IBM Plex Sans"/>
          <w:color w:val="1D1D1F"/>
          <w:sz w:val="22"/>
          <w:szCs w:val="22"/>
        </w:rPr>
        <w:t xml:space="preserve">Why the policy exists, in one or two sentences.</w:t>
      </w:r>
    </w:p>
    <w:p>
      <w:pPr>
        <w:pStyle w:val="Heading2"/>
      </w:pPr>
      <w:r>
        <w:rPr>
          <w:rFonts w:ascii="IBM Plex Serif" w:cs="IBM Plex Serif" w:eastAsia="IBM Plex Serif" w:hAnsi="IBM Plex Serif"/>
          <w:b/>
          <w:bCs/>
          <w:color w:val="00707A"/>
          <w:sz w:val="27"/>
          <w:szCs w:val="27"/>
        </w:rPr>
        <w:t xml:space="preserve">2. Scope</w:t>
      </w:r>
    </w:p>
    <w:p>
      <w:pPr>
        <w:spacing w:after="200"/>
      </w:pPr>
      <w:r>
        <w:rPr>
          <w:rFonts w:ascii="IBM Plex Sans" w:cs="IBM Plex Sans" w:eastAsia="IBM Plex Sans" w:hAnsi="IBM Plex Sans"/>
          <w:color w:val="1D1D1F"/>
          <w:sz w:val="22"/>
          <w:szCs w:val="22"/>
        </w:rPr>
        <w:t xml:space="preserve">Who and what the policy covers — and anything explicitly out of scope.</w:t>
      </w:r>
    </w:p>
    <w:p>
      <w:pPr>
        <w:pStyle w:val="Heading2"/>
      </w:pPr>
      <w:r>
        <w:rPr>
          <w:rFonts w:ascii="IBM Plex Serif" w:cs="IBM Plex Serif" w:eastAsia="IBM Plex Serif" w:hAnsi="IBM Plex Serif"/>
          <w:b/>
          <w:bCs/>
          <w:color w:val="00707A"/>
          <w:sz w:val="27"/>
          <w:szCs w:val="27"/>
        </w:rPr>
        <w:t xml:space="preserve">3. Policy</w:t>
      </w:r>
    </w:p>
    <w:p>
      <w:pPr>
        <w:spacing w:after="200"/>
      </w:pPr>
      <w:r>
        <w:rPr>
          <w:rFonts w:ascii="IBM Plex Sans" w:cs="IBM Plex Sans" w:eastAsia="IBM Plex Sans" w:hAnsi="IBM Plex Sans"/>
          <w:color w:val="1D1D1F"/>
          <w:sz w:val="22"/>
          <w:szCs w:val="22"/>
        </w:rPr>
        <w:t xml:space="preserve">The rules themselves, numbered so they can be cited. One rule per clause.</w:t>
      </w:r>
    </w:p>
    <w:p>
      <w:pPr>
        <w:pStyle w:val="Heading2"/>
      </w:pPr>
      <w:r>
        <w:rPr>
          <w:rFonts w:ascii="IBM Plex Serif" w:cs="IBM Plex Serif" w:eastAsia="IBM Plex Serif" w:hAnsi="IBM Plex Serif"/>
          <w:b/>
          <w:bCs/>
          <w:color w:val="00707A"/>
          <w:sz w:val="27"/>
          <w:szCs w:val="27"/>
        </w:rPr>
        <w:t xml:space="preserve">4. Compliance &amp; exceptions</w:t>
      </w:r>
    </w:p>
    <w:p>
      <w:pPr>
        <w:spacing w:after="300"/>
      </w:pPr>
      <w:r>
        <w:rPr>
          <w:rFonts w:ascii="IBM Plex Sans" w:cs="IBM Plex Sans" w:eastAsia="IBM Plex Sans" w:hAnsi="IBM Plex Sans"/>
          <w:color w:val="1D1D1F"/>
          <w:sz w:val="22"/>
          <w:szCs w:val="22"/>
        </w:rPr>
        <w:t xml:space="preserve">How adherence is checked, and the route for requesting an exception.</w:t>
      </w:r>
    </w:p>
    <w:p>
      <w:pPr>
        <w:spacing w:after="100"/>
      </w:pPr>
      <w:r>
        <w:rPr>
          <w:rFonts w:ascii="IBM Plex Sans" w:cs="IBM Plex Sans" w:eastAsia="IBM Plex Sans" w:hAnsi="IBM Plex Sans"/>
          <w:b/>
          <w:bCs/>
          <w:color w:val="06243F"/>
          <w:sz w:val="21"/>
          <w:szCs w:val="21"/>
        </w:rPr>
        <w:t xml:space="preserve">Revision history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00"/>
        <w:gridCol w:w="2200"/>
        <w:gridCol w:w="5760"/>
      </w:tblGrid>
      <w:tr>
        <w:tc>
          <w:tcPr>
            <w:tcW w:type="dxa" w:w="1400"/>
            <w:tcBorders>
              <w:top w:val="single" w:color="D8DADC" w:sz="1"/>
              <w:left w:val="single" w:color="D8DADC" w:sz="1"/>
              <w:bottom w:val="single" w:color="D8DADC" w:sz="1"/>
              <w:right w:val="single" w:color="D8DADC" w:sz="1"/>
            </w:tcBorders>
            <w:shd w:fill="00707A"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Ver.</w:t>
            </w:r>
          </w:p>
        </w:tc>
        <w:tc>
          <w:tcPr>
            <w:tcW w:type="dxa" w:w="2200"/>
            <w:tcBorders>
              <w:top w:val="single" w:color="D8DADC" w:sz="1"/>
              <w:left w:val="single" w:color="D8DADC" w:sz="1"/>
              <w:bottom w:val="single" w:color="D8DADC" w:sz="1"/>
              <w:right w:val="single" w:color="D8DADC" w:sz="1"/>
            </w:tcBorders>
            <w:shd w:fill="00707A"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Date</w:t>
            </w:r>
          </w:p>
        </w:tc>
        <w:tc>
          <w:tcPr>
            <w:tcW w:type="dxa" w:w="5760"/>
            <w:tcBorders>
              <w:top w:val="single" w:color="D8DADC" w:sz="1"/>
              <w:left w:val="single" w:color="D8DADC" w:sz="1"/>
              <w:bottom w:val="single" w:color="D8DADC" w:sz="1"/>
              <w:right w:val="single" w:color="D8DADC" w:sz="1"/>
            </w:tcBorders>
            <w:shd w:fill="00707A"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Change</w:t>
            </w:r>
          </w:p>
        </w:tc>
      </w:tr>
      <w:tr>
        <w:tc>
          <w:tcPr>
            <w:tcW w:type="dxa" w:w="1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20"/>
                <w:szCs w:val="20"/>
              </w:rPr>
              <w:t xml:space="preserve">1.0</w:t>
            </w:r>
          </w:p>
        </w:tc>
        <w:tc>
          <w:tcPr>
            <w:tcW w:type="dxa" w:w="22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20"/>
                <w:szCs w:val="20"/>
              </w:rPr>
              <w:t xml:space="preserve">2026-08-01</w:t>
            </w:r>
          </w:p>
        </w:tc>
        <w:tc>
          <w:tcPr>
            <w:tcW w:type="dxa" w:w="5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Initial issue</w:t>
            </w:r>
          </w:p>
        </w:tc>
      </w:tr>
    </w:tbl>
    <w:p>
      <w:pPr>
        <w:pageBreakBefore/>
        <w:pBdr>
          <w:bottom w:val="single" w:color="D2D2D7" w:sz="6" w:space="4"/>
        </w:pBdr>
        <w:spacing w:after="60"/>
      </w:pPr>
      <w:r>
        <w:rPr>
          <w:rFonts w:ascii="IBM Plex Mono" w:cs="IBM Plex Mono" w:eastAsia="IBM Plex Mono" w:hAnsi="IBM Plex Mono"/>
          <w:color w:val="6E6E73"/>
          <w:sz w:val="16"/>
          <w:szCs w:val="16"/>
        </w:rPr>
        <w:t xml:space="preserve">SAMPLE — PRODUCT ONE-PAGER · FRONT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cantSplit/>
          <w:trHeight w:val="3300" w:hRule="atLeast"/>
        </w:trPr>
        <w:tc>
          <w:tcPr>
            <w:tcBorders>
              <w:top w:val="single" w:color="041627" w:sz="4"/>
              <w:left w:val="single" w:color="041627" w:sz="4"/>
              <w:bottom w:val="single" w:color="041627" w:sz="4"/>
              <w:right w:val="single" w:color="041627" w:sz="4"/>
            </w:tcBorders>
            <w:shd w:fill="041627" w:val="clear"/>
            <w:tcMar>
              <w:top w:type="dxa" w:w="300"/>
              <w:left w:type="dxa" w:w="480"/>
              <w:bottom w:type="dxa" w:w="300"/>
              <w:right w:type="dxa" w:w="480"/>
            </w:tcMar>
          </w:tcPr>
          <w:p>
            <w:pPr>
              <w:spacing w:after="300"/>
            </w:pPr>
            <w:r>
              <w:drawing>
                <wp:inline distT="0" distB="0" distL="0" distR="0">
                  <wp:extent cx="1333500" cy="3905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1333500" cy="390525"/>
                          </a:xfrm>
                          <a:prstGeom prst="rect">
                            <a:avLst/>
                          </a:prstGeom>
                        </pic:spPr>
                      </pic:pic>
                    </a:graphicData>
                  </a:graphic>
                </wp:inline>
              </w:drawing>
            </w:r>
          </w:p>
          <w:p>
            <w:pPr>
              <w:spacing w:after="160"/>
            </w:pPr>
            <w:r>
              <w:rPr>
                <w:rFonts w:ascii="IBM Plex Mono" w:cs="IBM Plex Mono" w:eastAsia="IBM Plex Mono" w:hAnsi="IBM Plex Mono"/>
                <w:color w:val="2CB6C0"/>
                <w:sz w:val="17"/>
                <w:szCs w:val="17"/>
              </w:rPr>
              <w:t xml:space="preserve">A2GO DECISION INTELLIGENCE PLATFORM (ADIP)</w:t>
            </w:r>
          </w:p>
          <w:p>
            <w:pPr>
              <w:spacing w:after="120"/>
            </w:pPr>
            <w:r>
              <w:rPr>
                <w:rFonts w:ascii="IBM Plex Serif" w:cs="IBM Plex Serif" w:eastAsia="IBM Plex Serif" w:hAnsi="IBM Plex Serif"/>
                <w:b/>
                <w:bCs/>
                <w:color w:val="FFFFFF"/>
                <w:sz w:val="44"/>
                <w:szCs w:val="44"/>
              </w:rPr>
              <w:t xml:space="preserve">Run the operation, don’t just watch it</w:t>
            </w:r>
          </w:p>
          <w:p>
            <w:r>
              <w:rPr>
                <w:rFonts w:ascii="IBM Plex Sans" w:cs="IBM Plex Sans" w:eastAsia="IBM Plex Sans" w:hAnsi="IBM Plex Sans"/>
                <w:color w:val="C8D6E0"/>
                <w:sz w:val="21"/>
                <w:szCs w:val="21"/>
              </w:rPr>
              <w:t xml:space="preserve">Purpose-built agents that sense, decide, and act across the supply chain — governed by your judgment.</w:t>
            </w:r>
          </w:p>
        </w:tc>
      </w:tr>
    </w:tbl>
    <w:p>
      <w:pPr>
        <w:spacing w:after="200" w:before="300"/>
      </w:pPr>
      <w:r>
        <w:rPr>
          <w:rFonts w:ascii="IBM Plex Serif" w:cs="IBM Plex Serif" w:eastAsia="IBM Plex Serif" w:hAnsi="IBM Plex Serif"/>
          <w:b/>
          <w:bCs/>
          <w:color w:val="06243F"/>
          <w:sz w:val="30"/>
          <w:szCs w:val="30"/>
        </w:rPr>
        <w:t xml:space="preserve">What it does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c>
          <w:tcPr>
            <w:tcW w:type="dxa" w:w="3120"/>
            <w:tcBorders>
              <w:top w:val="single" w:color="1F77C4" w:sz="24"/>
              <w:left w:val="single" w:color="D8DADC" w:sz="1"/>
              <w:bottom w:val="single" w:color="D8DADC" w:sz="1"/>
              <w:right w:val="single" w:color="D8DADC" w:sz="1"/>
            </w:tcBorders>
            <w:tcMar>
              <w:top w:type="dxa" w:w="140"/>
              <w:left w:type="dxa" w:w="140"/>
              <w:bottom w:type="dxa" w:w="140"/>
              <w:right w:type="dxa" w:w="140"/>
            </w:tcMar>
          </w:tcPr>
          <w:p>
            <w:pPr>
              <w:spacing w:after="80"/>
            </w:pPr>
            <w:r>
              <w:rPr>
                <w:rFonts w:ascii="IBM Plex Mono" w:cs="IBM Plex Mono" w:eastAsia="IBM Plex Mono" w:hAnsi="IBM Plex Mono"/>
                <w:b/>
                <w:bCs/>
                <w:color w:val="1D1D1F"/>
                <w:sz w:val="18"/>
                <w:szCs w:val="18"/>
              </w:rPr>
              <w:t xml:space="preserve">SENSE</w:t>
            </w:r>
          </w:p>
          <w:p>
            <w:r>
              <w:rPr>
                <w:rFonts w:ascii="IBM Plex Sans" w:cs="IBM Plex Sans" w:eastAsia="IBM Plex Sans" w:hAnsi="IBM Plex Sans"/>
                <w:color w:val="3A3A3C"/>
                <w:sz w:val="19"/>
                <w:szCs w:val="19"/>
              </w:rPr>
              <w:t xml:space="preserve">Signals from the systems that run the operation — orders, inventory, capacity, exceptions.</w:t>
            </w:r>
          </w:p>
        </w:tc>
        <w:tc>
          <w:tcPr>
            <w:tcW w:type="dxa" w:w="3120"/>
            <w:tcBorders>
              <w:top w:val="single" w:color="0A4A92" w:sz="24"/>
              <w:left w:val="single" w:color="D8DADC" w:sz="1"/>
              <w:bottom w:val="single" w:color="D8DADC" w:sz="1"/>
              <w:right w:val="single" w:color="D8DADC" w:sz="1"/>
            </w:tcBorders>
            <w:tcMar>
              <w:top w:type="dxa" w:w="140"/>
              <w:left w:type="dxa" w:w="140"/>
              <w:bottom w:type="dxa" w:w="140"/>
              <w:right w:type="dxa" w:w="140"/>
            </w:tcMar>
          </w:tcPr>
          <w:p>
            <w:pPr>
              <w:spacing w:after="80"/>
            </w:pPr>
            <w:r>
              <w:rPr>
                <w:rFonts w:ascii="IBM Plex Mono" w:cs="IBM Plex Mono" w:eastAsia="IBM Plex Mono" w:hAnsi="IBM Plex Mono"/>
                <w:b/>
                <w:bCs/>
                <w:color w:val="1D1D1F"/>
                <w:sz w:val="18"/>
                <w:szCs w:val="18"/>
              </w:rPr>
              <w:t xml:space="preserve">DECIDE</w:t>
            </w:r>
          </w:p>
          <w:p>
            <w:r>
              <w:rPr>
                <w:rFonts w:ascii="IBM Plex Sans" w:cs="IBM Plex Sans" w:eastAsia="IBM Plex Sans" w:hAnsi="IBM Plex Sans"/>
                <w:color w:val="3A3A3C"/>
                <w:sz w:val="19"/>
                <w:szCs w:val="19"/>
              </w:rPr>
              <w:t xml:space="preserve">Governed judgment applied at the moment of decision, with your policies in the loop.</w:t>
            </w:r>
          </w:p>
        </w:tc>
        <w:tc>
          <w:tcPr>
            <w:tcW w:type="dxa" w:w="3120"/>
            <w:tcBorders>
              <w:top w:val="single" w:color="2CB6C0" w:sz="24"/>
              <w:left w:val="single" w:color="D8DADC" w:sz="1"/>
              <w:bottom w:val="single" w:color="D8DADC" w:sz="1"/>
              <w:right w:val="single" w:color="D8DADC" w:sz="1"/>
            </w:tcBorders>
            <w:tcMar>
              <w:top w:type="dxa" w:w="140"/>
              <w:left w:type="dxa" w:w="140"/>
              <w:bottom w:type="dxa" w:w="140"/>
              <w:right w:type="dxa" w:w="140"/>
            </w:tcMar>
          </w:tcPr>
          <w:p>
            <w:pPr>
              <w:spacing w:after="80"/>
            </w:pPr>
            <w:r>
              <w:rPr>
                <w:rFonts w:ascii="IBM Plex Mono" w:cs="IBM Plex Mono" w:eastAsia="IBM Plex Mono" w:hAnsi="IBM Plex Mono"/>
                <w:b/>
                <w:bCs/>
                <w:color w:val="1D1D1F"/>
                <w:sz w:val="18"/>
                <w:szCs w:val="18"/>
              </w:rPr>
              <w:t xml:space="preserve">ACT</w:t>
            </w:r>
          </w:p>
          <w:p>
            <w:r>
              <w:rPr>
                <w:rFonts w:ascii="IBM Plex Sans" w:cs="IBM Plex Sans" w:eastAsia="IBM Plex Sans" w:hAnsi="IBM Plex Sans"/>
                <w:color w:val="3A3A3C"/>
                <w:sz w:val="19"/>
                <w:szCs w:val="19"/>
              </w:rPr>
              <w:t xml:space="preserve">Actions written back into the systems of record — bounded, auditable, reversible.</w:t>
            </w:r>
          </w:p>
        </w:tc>
      </w:tr>
    </w:tbl>
    <w:p>
      <w:pPr>
        <w:spacing w:after="200" w:before="300"/>
      </w:pPr>
      <w:r>
        <w:rPr>
          <w:rFonts w:ascii="IBM Plex Sans" w:cs="IBM Plex Sans" w:eastAsia="IBM Plex Sans" w:hAnsi="IBM Plex Sans"/>
          <w:color w:val="3A3A3C"/>
          <w:sz w:val="21"/>
          <w:szCs w:val="21"/>
        </w:rPr>
        <w:t xml:space="preserve">Grounded in SCOR DS — the supply-chain process language your team already speaks: Orchestrate, Plan, Order, Source, Transform, Fulfill, Return.</w:t>
      </w:r>
    </w:p>
    <w:p>
      <w:pPr>
        <w:spacing w:after="300"/>
      </w:pPr>
      <w:r>
        <w:rPr>
          <w:rFonts w:ascii="IBM Plex Sans" w:cs="IBM Plex Sans" w:eastAsia="IBM Plex Sans" w:hAnsi="IBM Plex Sans"/>
          <w:i/>
          <w:iCs/>
          <w:color w:val="6E6E73"/>
          <w:sz w:val="18"/>
          <w:szCs w:val="18"/>
        </w:rPr>
        <w:t xml:space="preserve">[Customer proof point — verified claims only. See the editorial gates before adding numbers.]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val="single" w:color="00707A" w:sz="4"/>
              <w:left w:val="single" w:color="00707A" w:sz="4"/>
              <w:bottom w:val="single" w:color="00707A" w:sz="4"/>
              <w:right w:val="single" w:color="00707A" w:sz="4"/>
            </w:tcBorders>
            <w:shd w:fill="00707A" w:val="clear"/>
            <w:tcMar>
              <w:top w:type="dxa" w:w="200"/>
              <w:left w:type="dxa" w:w="300"/>
              <w:bottom w:type="dxa" w:w="200"/>
              <w:right w:type="dxa" w:w="300"/>
            </w:tcMar>
          </w:tcPr>
          <w:p>
            <w:r>
              <w:rPr>
                <w:rFonts w:ascii="IBM Plex Sans" w:cs="IBM Plex Sans" w:eastAsia="IBM Plex Sans" w:hAnsi="IBM Plex Sans"/>
                <w:b/>
                <w:bCs/>
                <w:color w:val="FFFFFF"/>
                <w:sz w:val="22"/>
                <w:szCs w:val="22"/>
              </w:rPr>
              <w:t xml:space="preserve">See it on your data — </w:t>
            </w:r>
            <w:r>
              <w:rPr>
                <w:rFonts w:ascii="IBM Plex Mono" w:cs="IBM Plex Mono" w:eastAsia="IBM Plex Mono" w:hAnsi="IBM Plex Mono"/>
                <w:color w:val="FFFFFF"/>
                <w:sz w:val="21"/>
                <w:szCs w:val="21"/>
              </w:rPr>
              <w:t xml:space="preserve">a2go.ai · contact@a2go.ai</w:t>
            </w:r>
          </w:p>
        </w:tc>
      </w:tr>
    </w:tbl>
    <w:p>
      <w:pPr>
        <w:pageBreakBefore/>
        <w:pBdr>
          <w:bottom w:val="single" w:color="D2D2D7" w:sz="6" w:space="4"/>
        </w:pBdr>
        <w:spacing w:after="60"/>
      </w:pPr>
      <w:r>
        <w:rPr>
          <w:rFonts w:ascii="IBM Plex Mono" w:cs="IBM Plex Mono" w:eastAsia="IBM Plex Mono" w:hAnsi="IBM Plex Mono"/>
          <w:color w:val="6E6E73"/>
          <w:sz w:val="16"/>
          <w:szCs w:val="16"/>
        </w:rPr>
        <w:t xml:space="preserve">SAMPLE — PRODUCT ONE-PAGER · BACK</w:t>
      </w:r>
    </w:p>
    <w:p>
      <w:pPr>
        <w:spacing w:after="200" w:before="200"/>
      </w:pPr>
      <w:r>
        <w:rPr>
          <w:rFonts w:ascii="IBM Plex Serif" w:cs="IBM Plex Serif" w:eastAsia="IBM Plex Serif" w:hAnsi="IBM Plex Serif"/>
          <w:b/>
          <w:bCs/>
          <w:color w:val="06243F"/>
          <w:sz w:val="30"/>
          <w:szCs w:val="30"/>
        </w:rPr>
        <w:t xml:space="preserve">How it works</w:t>
      </w:r>
    </w:p>
    <w:p>
      <w:pPr>
        <w:pStyle w:val="ListParagraph"/>
        <w:numPr>
          <w:ilvl w:val="0"/>
          <w:numId w:val="2"/>
        </w:numPr>
      </w:pPr>
      <w:r>
        <w:rPr>
          <w:rFonts w:ascii="IBM Plex Sans" w:cs="IBM Plex Sans" w:eastAsia="IBM Plex Sans" w:hAnsi="IBM Plex Sans"/>
          <w:color w:val="1D1D1F"/>
          <w:sz w:val="22"/>
          <w:szCs w:val="22"/>
        </w:rPr>
        <w:t xml:space="preserve">Connects to the systems you already run — ERP, planning, execution.</w:t>
      </w:r>
    </w:p>
    <w:p>
      <w:pPr>
        <w:pStyle w:val="ListParagraph"/>
        <w:numPr>
          <w:ilvl w:val="0"/>
          <w:numId w:val="2"/>
        </w:numPr>
      </w:pPr>
      <w:r>
        <w:rPr>
          <w:rFonts w:ascii="IBM Plex Sans" w:cs="IBM Plex Sans" w:eastAsia="IBM Plex Sans" w:hAnsi="IBM Plex Sans"/>
          <w:color w:val="1D1D1F"/>
          <w:sz w:val="22"/>
          <w:szCs w:val="22"/>
        </w:rPr>
        <w:t xml:space="preserve">Deploys purpose-built agents scoped to specific decisions, not a monolith.</w:t>
      </w:r>
    </w:p>
    <w:p>
      <w:pPr>
        <w:pStyle w:val="ListParagraph"/>
        <w:numPr>
          <w:ilvl w:val="0"/>
          <w:numId w:val="2"/>
        </w:numPr>
      </w:pPr>
      <w:r>
        <w:rPr>
          <w:rFonts w:ascii="IBM Plex Sans" w:cs="IBM Plex Sans" w:eastAsia="IBM Plex Sans" w:hAnsi="IBM Plex Sans"/>
          <w:color w:val="1D1D1F"/>
          <w:sz w:val="22"/>
          <w:szCs w:val="22"/>
        </w:rPr>
        <w:t xml:space="preserve">Keeps people in charge: judgment is captured, applied, and auditable.</w:t>
      </w:r>
    </w:p>
    <w:p>
      <w:pPr>
        <w:spacing w:after="200" w:before="300"/>
      </w:pPr>
      <w:r>
        <w:rPr>
          <w:rFonts w:ascii="IBM Plex Serif" w:cs="IBM Plex Serif" w:eastAsia="IBM Plex Serif" w:hAnsi="IBM Plex Serif"/>
          <w:b/>
          <w:bCs/>
          <w:color w:val="06243F"/>
          <w:sz w:val="30"/>
          <w:szCs w:val="30"/>
        </w:rPr>
        <w:t xml:space="preserve">What you get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6240"/>
      </w:tblGrid>
      <w:tr>
        <w:tc>
          <w:tcPr>
            <w:tcW w:type="dxa" w:w="3120"/>
            <w:tcBorders>
              <w:top w:val="single" w:color="D8DADC" w:sz="1"/>
              <w:left w:val="single" w:color="D8DADC" w:sz="1"/>
              <w:bottom w:val="single" w:color="D8DADC" w:sz="1"/>
              <w:right w:val="single" w:color="D8DADC" w:sz="1"/>
            </w:tcBorders>
            <w:shd w:fill="E0F0F1" w:val="clear"/>
            <w:tcMar>
              <w:top w:type="dxa" w:w="80"/>
              <w:left w:type="dxa" w:w="120"/>
              <w:bottom w:type="dxa" w:w="80"/>
              <w:right w:type="dxa" w:w="120"/>
            </w:tcMar>
          </w:tcPr>
          <w:p>
            <w:r>
              <w:rPr>
                <w:rFonts w:ascii="IBM Plex Sans" w:cs="IBM Plex Sans" w:eastAsia="IBM Plex Sans" w:hAnsi="IBM Plex Sans"/>
                <w:b/>
                <w:bCs/>
                <w:color w:val="06243F"/>
                <w:sz w:val="21"/>
                <w:szCs w:val="21"/>
              </w:rPr>
              <w:t xml:space="preserve">Platform</w:t>
            </w:r>
          </w:p>
        </w:tc>
        <w:tc>
          <w:tcPr>
            <w:tcW w:type="dxa" w:w="624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21"/>
                <w:szCs w:val="21"/>
              </w:rPr>
              <w:t xml:space="preserve">The A2go Decision Intelligence Platform (ADIP), configured to your operation</w:t>
            </w:r>
          </w:p>
        </w:tc>
      </w:tr>
      <w:tr>
        <w:tc>
          <w:tcPr>
            <w:tcW w:type="dxa" w:w="3120"/>
            <w:tcBorders>
              <w:top w:val="single" w:color="D8DADC" w:sz="1"/>
              <w:left w:val="single" w:color="D8DADC" w:sz="1"/>
              <w:bottom w:val="single" w:color="D8DADC" w:sz="1"/>
              <w:right w:val="single" w:color="D8DADC" w:sz="1"/>
            </w:tcBorders>
            <w:shd w:val="clear"/>
            <w:tcMar>
              <w:top w:type="dxa" w:w="80"/>
              <w:left w:type="dxa" w:w="120"/>
              <w:bottom w:type="dxa" w:w="80"/>
              <w:right w:type="dxa" w:w="120"/>
            </w:tcMar>
          </w:tcPr>
          <w:p>
            <w:r>
              <w:rPr>
                <w:rFonts w:ascii="IBM Plex Sans" w:cs="IBM Plex Sans" w:eastAsia="IBM Plex Sans" w:hAnsi="IBM Plex Sans"/>
                <w:b/>
                <w:bCs/>
                <w:color w:val="06243F"/>
                <w:sz w:val="21"/>
                <w:szCs w:val="21"/>
              </w:rPr>
              <w:t xml:space="preserve">Agents</w:t>
            </w:r>
          </w:p>
        </w:tc>
        <w:tc>
          <w:tcPr>
            <w:tcW w:type="dxa" w:w="624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21"/>
                <w:szCs w:val="21"/>
              </w:rPr>
              <w:t xml:space="preserve">A scoped starting set mapped to your highest-value decisions</w:t>
            </w:r>
          </w:p>
        </w:tc>
      </w:tr>
      <w:tr>
        <w:tc>
          <w:tcPr>
            <w:tcW w:type="dxa" w:w="3120"/>
            <w:tcBorders>
              <w:top w:val="single" w:color="D8DADC" w:sz="1"/>
              <w:left w:val="single" w:color="D8DADC" w:sz="1"/>
              <w:bottom w:val="single" w:color="D8DADC" w:sz="1"/>
              <w:right w:val="single" w:color="D8DADC" w:sz="1"/>
            </w:tcBorders>
            <w:shd w:val="clear"/>
            <w:tcMar>
              <w:top w:type="dxa" w:w="80"/>
              <w:left w:type="dxa" w:w="120"/>
              <w:bottom w:type="dxa" w:w="80"/>
              <w:right w:type="dxa" w:w="120"/>
            </w:tcMar>
          </w:tcPr>
          <w:p>
            <w:r>
              <w:rPr>
                <w:rFonts w:ascii="IBM Plex Sans" w:cs="IBM Plex Sans" w:eastAsia="IBM Plex Sans" w:hAnsi="IBM Plex Sans"/>
                <w:b/>
                <w:bCs/>
                <w:color w:val="06243F"/>
                <w:sz w:val="21"/>
                <w:szCs w:val="21"/>
              </w:rPr>
              <w:t xml:space="preserve">Governance</w:t>
            </w:r>
          </w:p>
        </w:tc>
        <w:tc>
          <w:tcPr>
            <w:tcW w:type="dxa" w:w="624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21"/>
                <w:szCs w:val="21"/>
              </w:rPr>
              <w:t xml:space="preserve">The judgment layer: policies, bounds, audit trail</w:t>
            </w:r>
          </w:p>
        </w:tc>
      </w:tr>
    </w:tbl>
    <w:p>
      <w:pPr>
        <w:spacing w:after="200" w:before="300"/>
      </w:pPr>
      <w:r>
        <w:rPr>
          <w:rFonts w:ascii="IBM Plex Serif" w:cs="IBM Plex Serif" w:eastAsia="IBM Plex Serif" w:hAnsi="IBM Plex Serif"/>
          <w:b/>
          <w:bCs/>
          <w:color w:val="06243F"/>
          <w:sz w:val="30"/>
          <w:szCs w:val="30"/>
        </w:rPr>
        <w:t xml:space="preserve">Next step</w:t>
      </w:r>
    </w:p>
    <w:p>
      <w:pPr>
        <w:spacing w:after="600"/>
      </w:pPr>
      <w:r>
        <w:rPr>
          <w:rFonts w:ascii="IBM Plex Sans" w:cs="IBM Plex Sans" w:eastAsia="IBM Plex Sans" w:hAnsi="IBM Plex Sans"/>
          <w:color w:val="1D1D1F"/>
          <w:sz w:val="22"/>
          <w:szCs w:val="22"/>
        </w:rPr>
        <w:t xml:space="preserve">Bring one decision your team makes weekly. We will show how ADIP senses it, decides it, and acts on it — </w:t>
      </w:r>
      <w:r>
        <w:rPr>
          <w:rFonts w:ascii="IBM Plex Mono" w:cs="IBM Plex Mono" w:eastAsia="IBM Plex Mono" w:hAnsi="IBM Plex Mono"/>
          <w:color w:val="00707A"/>
          <w:sz w:val="21"/>
          <w:szCs w:val="21"/>
        </w:rPr>
        <w:t xml:space="preserve">a2go.ai</w:t>
      </w:r>
    </w:p>
    <w:p>
      <w:pPr>
        <w:pBdr>
          <w:top w:val="single" w:color="D2D2D7" w:sz="6" w:space="8"/>
        </w:pBdr>
        <w:spacing w:after="60" w:before="600"/>
      </w:pPr>
      <w:r>
        <w:rPr>
          <w:rFonts w:ascii="IBM Plex Sans" w:cs="IBM Plex Sans" w:eastAsia="IBM Plex Sans" w:hAnsi="IBM Plex Sans"/>
          <w:color w:val="6E6E73"/>
          <w:sz w:val="15"/>
          <w:szCs w:val="15"/>
        </w:rPr>
        <w:t xml:space="preserve">This material is provided for informational purposes only. Analytics2Go, Inc. makes no representations or warranties, express or implied, as to its accuracy or completeness, and undertakes no obligation to update it. It does not constitute legal, tax, accounting, or other professional advice; recipients should consult their own advisors. Statements regarding A2go's plans, directions, product roadmap, and intent are subject to change or withdrawal without notice at the sole discretion of Analytics2Go, Inc. Information about potential future products or capabilities is intended to outline general direction only, should not be relied upon in making a purchasing decision, and is not a commitment, promise, or legal obligation to deliver any material, code, or functionality. Any examples, outcomes, or performance figures described are illustrative, reflect specific environments and conditions, and are not a guarantee of comparable results. Actual results depend on each organization's configurations, data, and operating conditions.</w:t>
      </w:r>
    </w:p>
    <w:p>
      <w:r>
        <w:rPr>
          <w:rFonts w:ascii="IBM Plex Sans" w:cs="IBM Plex Sans" w:eastAsia="IBM Plex Sans" w:hAnsi="IBM Plex Sans"/>
          <w:color w:val="6E6E73"/>
          <w:sz w:val="15"/>
          <w:szCs w:val="15"/>
        </w:rPr>
        <w:t xml:space="preserve">© 2026 Analytics2Go, Inc. All rights reserved. A2go, the A2go mark, and A2go Decision Intelligence Platform (ADIP) are trademarks of Analytics2Go, Inc. SCOR® is a registered trademark of the Association for Supply Chain Management (ASCM). All other marks are the property of their respective owners.</w:t>
      </w:r>
    </w:p>
    <w:p>
      <w:pPr>
        <w:pageBreakBefore/>
        <w:pBdr>
          <w:bottom w:val="single" w:color="D2D2D7" w:sz="6" w:space="4"/>
        </w:pBdr>
        <w:spacing w:after="60"/>
      </w:pPr>
      <w:r>
        <w:rPr>
          <w:rFonts w:ascii="IBM Plex Mono" w:cs="IBM Plex Mono" w:eastAsia="IBM Plex Mono" w:hAnsi="IBM Plex Mono"/>
          <w:color w:val="6E6E73"/>
          <w:sz w:val="16"/>
          <w:szCs w:val="16"/>
        </w:rPr>
        <w:t xml:space="preserve">SAMPLE — STYLE SPECIMENS</w:t>
      </w:r>
    </w:p>
    <w:p>
      <w:pPr>
        <w:pBdr>
          <w:top w:val="single" w:color="00707A" w:sz="36" w:space="1"/>
        </w:pBdr>
        <w:spacing w:after="300" w:before="200"/>
      </w:pPr>
      <w:r>
        <w:rPr>
          <w:rFonts w:ascii="IBM Plex Sans" w:cs="IBM Plex Sans" w:eastAsia="IBM Plex Sans" w:hAnsi="IBM Plex Sans"/>
          <w:color w:val="1D1D1F"/>
          <w:sz w:val="2"/>
          <w:szCs w:val="2"/>
        </w:rPr>
        <w:t xml:space="preserve"/>
      </w:r>
    </w:p>
    <w:p>
      <w:pPr>
        <w:spacing w:after="120" w:before="0"/>
      </w:pPr>
      <w:r>
        <w:rPr>
          <w:rFonts w:ascii="IBM Plex Mono" w:cs="IBM Plex Mono" w:eastAsia="IBM Plex Mono" w:hAnsi="IBM Plex Mono"/>
          <w:color w:val="00707A"/>
          <w:sz w:val="18"/>
          <w:szCs w:val="18"/>
        </w:rPr>
        <w:t xml:space="preserve">A2GO · LIGHT INTERIOR PAGE</w:t>
      </w:r>
    </w:p>
    <w:p>
      <w:pPr>
        <w:pStyle w:val="Title"/>
      </w:pPr>
      <w:r>
        <w:t xml:space="preserve">Document title</w:t>
      </w:r>
    </w:p>
    <w:p>
      <w:pPr>
        <w:pStyle w:val="Subtitle"/>
      </w:pPr>
      <w:r>
        <w:t xml:space="preserve">One-line purpose of the document — replace everything from here and write.</w:t>
      </w:r>
    </w:p>
    <w:p>
      <w:pPr>
        <w:pStyle w:val="Heading1"/>
      </w:pPr>
      <w:r>
        <w:t xml:space="preserve">Heading 1 — section</w:t>
      </w:r>
    </w:p>
    <w:p>
      <w:r>
        <w:rPr>
          <w:rFonts w:ascii="IBM Plex Sans" w:cs="IBM Plex Sans" w:eastAsia="IBM Plex Sans" w:hAnsi="IBM Plex Sans"/>
          <w:color w:val="1D1D1F"/>
          <w:sz w:val="22"/>
          <w:szCs w:val="22"/>
        </w:rPr>
        <w:t xml:space="preserve">Body text: IBM Plex Sans, 11 pt, ink #1D1D1F. This paragraph is the Normal style — just type. Emphasis is </w:t>
      </w:r>
      <w:r>
        <w:rPr>
          <w:rFonts w:ascii="IBM Plex Sans" w:cs="IBM Plex Sans" w:eastAsia="IBM Plex Sans" w:hAnsi="IBM Plex Sans"/>
          <w:b/>
          <w:bCs/>
          <w:color w:val="1D1D1F"/>
          <w:sz w:val="22"/>
          <w:szCs w:val="22"/>
        </w:rPr>
        <w:t xml:space="preserve">bold</w:t>
      </w:r>
      <w:r>
        <w:rPr>
          <w:rFonts w:ascii="IBM Plex Sans" w:cs="IBM Plex Sans" w:eastAsia="IBM Plex Sans" w:hAnsi="IBM Plex Sans"/>
          <w:color w:val="1D1D1F"/>
          <w:sz w:val="22"/>
          <w:szCs w:val="22"/>
        </w:rPr>
        <w:t xml:space="preserve"> or </w:t>
      </w:r>
      <w:r>
        <w:rPr>
          <w:rFonts w:ascii="IBM Plex Sans" w:cs="IBM Plex Sans" w:eastAsia="IBM Plex Sans" w:hAnsi="IBM Plex Sans"/>
          <w:i/>
          <w:iCs/>
          <w:color w:val="1D1D1F"/>
          <w:sz w:val="22"/>
          <w:szCs w:val="22"/>
        </w:rPr>
        <w:t xml:space="preserve">italic</w:t>
      </w:r>
      <w:r>
        <w:rPr>
          <w:rFonts w:ascii="IBM Plex Sans" w:cs="IBM Plex Sans" w:eastAsia="IBM Plex Sans" w:hAnsi="IBM Plex Sans"/>
          <w:color w:val="1D1D1F"/>
          <w:sz w:val="22"/>
          <w:szCs w:val="22"/>
        </w:rPr>
        <w:t xml:space="preserve">; never underline for emphasis.</w:t>
      </w:r>
    </w:p>
    <w:p>
      <w:pPr>
        <w:pStyle w:val="Heading2"/>
      </w:pPr>
      <w:r>
        <w:t xml:space="preserve">Heading 2 — subsection</w:t>
      </w:r>
    </w:p>
    <w:p>
      <w:pPr>
        <w:pStyle w:val="ListParagraph"/>
        <w:numPr>
          <w:ilvl w:val="0"/>
          <w:numId w:val="2"/>
        </w:numPr>
      </w:pPr>
      <w:r>
        <w:rPr>
          <w:rFonts w:ascii="IBM Plex Sans" w:cs="IBM Plex Sans" w:eastAsia="IBM Plex Sans" w:hAnsi="IBM Plex Sans"/>
          <w:color w:val="1D1D1F"/>
          <w:sz w:val="22"/>
          <w:szCs w:val="22"/>
        </w:rPr>
        <w:t xml:space="preserve">Bulleted list item — the list styles are wired to the brand indents.</w:t>
      </w:r>
    </w:p>
    <w:p>
      <w:pPr>
        <w:pStyle w:val="ListParagraph"/>
        <w:numPr>
          <w:ilvl w:val="0"/>
          <w:numId w:val="2"/>
        </w:numPr>
      </w:pPr>
      <w:r>
        <w:rPr>
          <w:rFonts w:ascii="IBM Plex Sans" w:cs="IBM Plex Sans" w:eastAsia="IBM Plex Sans" w:hAnsi="IBM Plex Sans"/>
          <w:color w:val="1D1D1F"/>
          <w:sz w:val="22"/>
          <w:szCs w:val="22"/>
        </w:rPr>
        <w:t xml:space="preserve">Second item.</w:t>
      </w:r>
    </w:p>
    <w:p>
      <w:pPr>
        <w:pStyle w:val="Heading3"/>
      </w:pPr>
      <w:r>
        <w:t xml:space="preserve">Heading 3 — minor</w:t>
      </w:r>
    </w:p>
    <w:p>
      <w:pPr>
        <w:pStyle w:val="IntenseQuote"/>
      </w:pPr>
      <w:r>
        <w:t xml:space="preserve">Use Intense Quote for pull quotes — serif italic, teal rule, one per page at most.</w:t>
      </w:r>
    </w:p>
    <w:p>
      <w:pPr>
        <w:pStyle w:val="Heading2"/>
      </w:pPr>
      <w:r>
        <w:t xml:space="preserve">Table style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160"/>
        <w:gridCol w:w="3120"/>
        <w:gridCol w:w="2080"/>
      </w:tblGrid>
      <w:tr>
        <w:tc>
          <w:tcPr>
            <w:tcW w:type="dxa" w:w="4160"/>
            <w:tcBorders>
              <w:top w:val="single" w:color="D8DADC" w:sz="1"/>
              <w:left w:val="single" w:color="D8DADC" w:sz="1"/>
              <w:bottom w:val="single" w:color="D8DADC" w:sz="1"/>
              <w:right w:val="single" w:color="D8DADC" w:sz="1"/>
            </w:tcBorders>
            <w:shd w:fill="00707A" w:val="clear"/>
            <w:tcMar>
              <w:top w:type="dxa" w:w="80"/>
              <w:left w:type="dxa" w:w="120"/>
              <w:bottom w:type="dxa" w:w="80"/>
              <w:right w:type="dxa" w:w="120"/>
            </w:tcMar>
          </w:tcPr>
          <w:p>
            <w:r>
              <w:rPr>
                <w:rFonts w:ascii="IBM Plex Sans" w:cs="IBM Plex Sans" w:eastAsia="IBM Plex Sans" w:hAnsi="IBM Plex Sans"/>
                <w:b/>
                <w:bCs/>
                <w:color w:val="FFFFFF"/>
                <w:sz w:val="21"/>
                <w:szCs w:val="21"/>
              </w:rPr>
              <w:t xml:space="preserve">Column</w:t>
            </w:r>
          </w:p>
        </w:tc>
        <w:tc>
          <w:tcPr>
            <w:tcW w:type="dxa" w:w="3120"/>
            <w:tcBorders>
              <w:top w:val="single" w:color="D8DADC" w:sz="1"/>
              <w:left w:val="single" w:color="D8DADC" w:sz="1"/>
              <w:bottom w:val="single" w:color="D8DADC" w:sz="1"/>
              <w:right w:val="single" w:color="D8DADC" w:sz="1"/>
            </w:tcBorders>
            <w:shd w:fill="00707A" w:val="clear"/>
            <w:tcMar>
              <w:top w:type="dxa" w:w="80"/>
              <w:left w:type="dxa" w:w="120"/>
              <w:bottom w:type="dxa" w:w="80"/>
              <w:right w:type="dxa" w:w="120"/>
            </w:tcMar>
          </w:tcPr>
          <w:p>
            <w:r>
              <w:rPr>
                <w:rFonts w:ascii="IBM Plex Sans" w:cs="IBM Plex Sans" w:eastAsia="IBM Plex Sans" w:hAnsi="IBM Plex Sans"/>
                <w:b/>
                <w:bCs/>
                <w:color w:val="FFFFFF"/>
                <w:sz w:val="21"/>
                <w:szCs w:val="21"/>
              </w:rPr>
              <w:t xml:space="preserve">Column</w:t>
            </w:r>
          </w:p>
        </w:tc>
        <w:tc>
          <w:tcPr>
            <w:tcW w:type="dxa" w:w="2080"/>
            <w:tcBorders>
              <w:top w:val="single" w:color="D8DADC" w:sz="1"/>
              <w:left w:val="single" w:color="D8DADC" w:sz="1"/>
              <w:bottom w:val="single" w:color="D8DADC" w:sz="1"/>
              <w:right w:val="single" w:color="D8DADC" w:sz="1"/>
            </w:tcBorders>
            <w:shd w:fill="00707A" w:val="clear"/>
            <w:tcMar>
              <w:top w:type="dxa" w:w="80"/>
              <w:left w:type="dxa" w:w="120"/>
              <w:bottom w:type="dxa" w:w="80"/>
              <w:right w:type="dxa" w:w="120"/>
            </w:tcMar>
          </w:tcPr>
          <w:p>
            <w:r>
              <w:rPr>
                <w:rFonts w:ascii="IBM Plex Sans" w:cs="IBM Plex Sans" w:eastAsia="IBM Plex Sans" w:hAnsi="IBM Plex Sans"/>
                <w:b/>
                <w:bCs/>
                <w:color w:val="FFFFFF"/>
                <w:sz w:val="21"/>
                <w:szCs w:val="21"/>
              </w:rPr>
              <w:t xml:space="preserve">Amount</w:t>
            </w:r>
          </w:p>
        </w:tc>
      </w:tr>
      <w:tr>
        <w:tc>
          <w:tcPr>
            <w:tcW w:type="dxa" w:w="41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1"/>
                <w:szCs w:val="21"/>
              </w:rPr>
              <w:t xml:space="preserve">Row content</w:t>
            </w:r>
          </w:p>
        </w:tc>
        <w:tc>
          <w:tcPr>
            <w:tcW w:type="dxa" w:w="312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21"/>
                <w:szCs w:val="21"/>
              </w:rPr>
              <w:t xml:space="preserve">Detail</w:t>
            </w:r>
          </w:p>
        </w:tc>
        <w:tc>
          <w:tcPr>
            <w:tcW w:type="dxa" w:w="2080"/>
            <w:tcBorders>
              <w:top w:val="single" w:color="D8DADC" w:sz="1"/>
              <w:left w:val="single" w:color="D8DADC" w:sz="1"/>
              <w:bottom w:val="single" w:color="D8DADC" w:sz="1"/>
              <w:right w:val="single" w:color="D8DADC" w:sz="1"/>
            </w:tcBorders>
            <w:tcMar>
              <w:top w:type="dxa" w:w="80"/>
              <w:left w:type="dxa" w:w="120"/>
              <w:bottom w:type="dxa" w:w="80"/>
              <w:right w:type="dxa" w:w="120"/>
            </w:tcMar>
          </w:tcPr>
          <w:p>
            <w:pPr>
              <w:jc w:val="right"/>
            </w:pPr>
            <w:r>
              <w:rPr>
                <w:rFonts w:ascii="IBM Plex Mono" w:cs="IBM Plex Mono" w:eastAsia="IBM Plex Mono" w:hAnsi="IBM Plex Mono"/>
                <w:color w:val="1D1D1F"/>
                <w:sz w:val="20"/>
                <w:szCs w:val="20"/>
              </w:rPr>
              <w:t xml:space="preserve">12,500</w:t>
            </w:r>
          </w:p>
        </w:tc>
      </w:tr>
      <w:tr>
        <w:tc>
          <w:tcPr>
            <w:tcW w:type="dxa" w:w="4160"/>
            <w:tcBorders>
              <w:top w:val="single" w:color="D8DADC" w:sz="1"/>
              <w:left w:val="single" w:color="D8DADC" w:sz="1"/>
              <w:bottom w:val="single" w:color="D8DADC" w:sz="1"/>
              <w:right w:val="single" w:color="D8DADC" w:sz="1"/>
            </w:tcBorders>
            <w:shd w:fill="E0F0F1" w:val="clear"/>
            <w:tcMar>
              <w:top w:type="dxa" w:w="80"/>
              <w:left w:type="dxa" w:w="120"/>
              <w:bottom w:type="dxa" w:w="80"/>
              <w:right w:type="dxa" w:w="120"/>
            </w:tcMar>
          </w:tcPr>
          <w:p>
            <w:pPr>
              <w:jc w:val="left"/>
            </w:pPr>
            <w:r>
              <w:rPr>
                <w:rFonts w:ascii="IBM Plex Sans" w:cs="IBM Plex Sans" w:eastAsia="IBM Plex Sans" w:hAnsi="IBM Plex Sans"/>
                <w:b/>
                <w:bCs/>
                <w:color w:val="06243F"/>
                <w:sz w:val="21"/>
                <w:szCs w:val="21"/>
              </w:rPr>
              <w:t xml:space="preserve">Total</w:t>
            </w:r>
          </w:p>
        </w:tc>
        <w:tc>
          <w:tcPr>
            <w:tcW w:type="dxa" w:w="3120"/>
            <w:tcBorders>
              <w:top w:val="single" w:color="D8DADC" w:sz="1"/>
              <w:left w:val="single" w:color="D8DADC" w:sz="1"/>
              <w:bottom w:val="single" w:color="D8DADC" w:sz="1"/>
              <w:right w:val="single" w:color="D8DADC" w:sz="1"/>
            </w:tcBorders>
            <w:shd w:fill="E0F0F1" w:val="clear"/>
            <w:tcMar>
              <w:top w:type="dxa" w:w="80"/>
              <w:left w:type="dxa" w:w="120"/>
              <w:bottom w:type="dxa" w:w="80"/>
              <w:right w:type="dxa" w:w="120"/>
            </w:tcMar>
          </w:tcPr>
          <w:p>
            <w:pPr>
              <w:jc w:val="left"/>
            </w:pPr>
          </w:p>
        </w:tc>
        <w:tc>
          <w:tcPr>
            <w:tcW w:type="dxa" w:w="2080"/>
            <w:tcBorders>
              <w:top w:val="single" w:color="D8DADC" w:sz="1"/>
              <w:left w:val="single" w:color="D8DADC" w:sz="1"/>
              <w:bottom w:val="single" w:color="D8DADC" w:sz="1"/>
              <w:right w:val="single" w:color="D8DADC" w:sz="1"/>
            </w:tcBorders>
            <w:shd w:fill="E0F0F1" w:val="clear"/>
            <w:tcMar>
              <w:top w:type="dxa" w:w="80"/>
              <w:left w:type="dxa" w:w="120"/>
              <w:bottom w:type="dxa" w:w="80"/>
              <w:right w:type="dxa" w:w="120"/>
            </w:tcMar>
          </w:tcPr>
          <w:p>
            <w:pPr>
              <w:jc w:val="right"/>
            </w:pPr>
            <w:r>
              <w:rPr>
                <w:rFonts w:ascii="IBM Plex Mono" w:cs="IBM Plex Mono" w:eastAsia="IBM Plex Mono" w:hAnsi="IBM Plex Mono"/>
                <w:b/>
                <w:bCs/>
                <w:color w:val="06243F"/>
                <w:sz w:val="20"/>
                <w:szCs w:val="20"/>
              </w:rPr>
              <w:t xml:space="preserve">12,500</w:t>
            </w:r>
          </w:p>
        </w:tc>
      </w:tr>
    </w:tbl>
    <w:p>
      <w:pPr>
        <w:pStyle w:val="Caption"/>
        <w:spacing w:before="100"/>
      </w:pPr>
      <w:r>
        <w:t xml:space="preserve">Caption style — table and figure notes.</w:t>
      </w:r>
    </w:p>
    <w:p>
      <w:pPr>
        <w:pStyle w:val="Heading2"/>
      </w:pPr>
      <w:r>
        <w:t xml:space="preserve">Ledger table — the light register</w:t>
      </w:r>
    </w:p>
    <w:p>
      <w:r>
        <w:rPr>
          <w:rFonts w:ascii="IBM Plex Sans" w:cs="IBM Plex Sans" w:eastAsia="IBM Plex Sans" w:hAnsi="IBM Plex Sans"/>
          <w:color w:val="3A3A3C"/>
          <w:sz w:val="20"/>
          <w:szCs w:val="20"/>
        </w:rPr>
        <w:t xml:space="preserve">For figures with institutional weight — outcomes, exposures, terms — use the ledger register: mono-caps header under a double rule, hairline rows, amounts in serif.</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2600"/>
        <w:gridCol w:w="3360"/>
      </w:tblGrid>
      <w:tr>
        <w:tc>
          <w:tcPr>
            <w:tcW w:type="dxa" w:w="3400"/>
            <w:tcBorders>
              <w:top w:val="none" w:color="FFFFFF" w:sz="0"/>
              <w:left w:val="none" w:color="FFFFFF" w:sz="0"/>
              <w:bottom w:val="double" w:color="1D1D1F" w:sz="12"/>
              <w:right w:val="none" w:color="FFFFFF" w:sz="0"/>
            </w:tcBorders>
            <w:tcMar>
              <w:top w:type="dxa" w:w="80"/>
              <w:left w:type="dxa" w:w="120"/>
              <w:bottom w:type="dxa" w:w="80"/>
              <w:right w:type="dxa" w:w="120"/>
            </w:tcMar>
          </w:tcPr>
          <w:p>
            <w:pPr>
              <w:jc w:val="left"/>
            </w:pPr>
            <w:r>
              <w:rPr>
                <w:rFonts w:ascii="IBM Plex Mono" w:cs="IBM Plex Mono" w:eastAsia="IBM Plex Mono" w:hAnsi="IBM Plex Mono"/>
                <w:b/>
                <w:bCs/>
                <w:color w:val="6E6E73"/>
                <w:sz w:val="17"/>
                <w:szCs w:val="17"/>
              </w:rPr>
              <w:t xml:space="preserve">ENTRY</w:t>
            </w:r>
          </w:p>
        </w:tc>
        <w:tc>
          <w:tcPr>
            <w:tcW w:type="dxa" w:w="2600"/>
            <w:tcBorders>
              <w:top w:val="none" w:color="FFFFFF" w:sz="0"/>
              <w:left w:val="none" w:color="FFFFFF" w:sz="0"/>
              <w:bottom w:val="double" w:color="1D1D1F" w:sz="12"/>
              <w:right w:val="none" w:color="FFFFFF" w:sz="0"/>
            </w:tcBorders>
            <w:tcMar>
              <w:top w:type="dxa" w:w="80"/>
              <w:left w:type="dxa" w:w="120"/>
              <w:bottom w:type="dxa" w:w="80"/>
              <w:right w:type="dxa" w:w="120"/>
            </w:tcMar>
          </w:tcPr>
          <w:p>
            <w:pPr>
              <w:jc w:val="right"/>
            </w:pPr>
            <w:r>
              <w:rPr>
                <w:rFonts w:ascii="IBM Plex Mono" w:cs="IBM Plex Mono" w:eastAsia="IBM Plex Mono" w:hAnsi="IBM Plex Mono"/>
                <w:b/>
                <w:bCs/>
                <w:color w:val="6E6E73"/>
                <w:sz w:val="17"/>
                <w:szCs w:val="17"/>
              </w:rPr>
              <w:t xml:space="preserve">AMOUNT</w:t>
            </w:r>
          </w:p>
        </w:tc>
        <w:tc>
          <w:tcPr>
            <w:tcW w:type="dxa" w:w="3360"/>
            <w:tcBorders>
              <w:top w:val="none" w:color="FFFFFF" w:sz="0"/>
              <w:left w:val="none" w:color="FFFFFF" w:sz="0"/>
              <w:bottom w:val="double" w:color="1D1D1F" w:sz="12"/>
              <w:right w:val="none" w:color="FFFFFF" w:sz="0"/>
            </w:tcBorders>
            <w:tcMar>
              <w:top w:type="dxa" w:w="80"/>
              <w:left w:type="dxa" w:w="120"/>
              <w:bottom w:type="dxa" w:w="80"/>
              <w:right w:type="dxa" w:w="120"/>
            </w:tcMar>
          </w:tcPr>
          <w:p>
            <w:pPr>
              <w:jc w:val="left"/>
            </w:pPr>
            <w:r>
              <w:rPr>
                <w:rFonts w:ascii="IBM Plex Mono" w:cs="IBM Plex Mono" w:eastAsia="IBM Plex Mono" w:hAnsi="IBM Plex Mono"/>
                <w:b/>
                <w:bCs/>
                <w:color w:val="6E6E73"/>
                <w:sz w:val="17"/>
                <w:szCs w:val="17"/>
              </w:rPr>
              <w:t xml:space="preserve">NOTE</w:t>
            </w:r>
          </w:p>
        </w:tc>
      </w:tr>
      <w:tr>
        <w:tc>
          <w:tcPr>
            <w:tcW w:type="dxa" w:w="3400"/>
            <w:tcBorders>
              <w:top w:val="none" w:color="FFFFFF" w:sz="0"/>
              <w:left w:val="none" w:color="FFFFFF" w:sz="0"/>
              <w:bottom w:val="single" w:color="D2D2D7" w:sz="4"/>
              <w:right w:val="none" w:color="FFFFFF" w:sz="0"/>
            </w:tcBorders>
            <w:tcMar>
              <w:top w:type="dxa" w:w="80"/>
              <w:left w:type="dxa" w:w="120"/>
              <w:bottom w:type="dxa" w:w="80"/>
              <w:right w:type="dxa" w:w="120"/>
            </w:tcMar>
          </w:tcPr>
          <w:p>
            <w:pPr>
              <w:jc w:val="left"/>
            </w:pPr>
            <w:r>
              <w:rPr>
                <w:rFonts w:ascii="IBM Plex Sans" w:cs="IBM Plex Sans" w:eastAsia="IBM Plex Sans" w:hAnsi="IBM Plex Sans"/>
                <w:color w:val="1D1D1F"/>
                <w:sz w:val="21"/>
                <w:szCs w:val="21"/>
              </w:rPr>
              <w:t xml:space="preserve">Excess inventory</w:t>
            </w:r>
          </w:p>
        </w:tc>
        <w:tc>
          <w:tcPr>
            <w:tcW w:type="dxa" w:w="2600"/>
            <w:tcBorders>
              <w:top w:val="none" w:color="FFFFFF" w:sz="0"/>
              <w:left w:val="none" w:color="FFFFFF" w:sz="0"/>
              <w:bottom w:val="single" w:color="D2D2D7" w:sz="4"/>
              <w:right w:val="none" w:color="FFFFFF" w:sz="0"/>
            </w:tcBorders>
            <w:tcMar>
              <w:top w:type="dxa" w:w="80"/>
              <w:left w:type="dxa" w:w="120"/>
              <w:bottom w:type="dxa" w:w="80"/>
              <w:right w:type="dxa" w:w="120"/>
            </w:tcMar>
          </w:tcPr>
          <w:p>
            <w:pPr>
              <w:jc w:val="right"/>
            </w:pPr>
            <w:r>
              <w:rPr>
                <w:rFonts w:ascii="IBM Plex Serif" w:cs="IBM Plex Serif" w:eastAsia="IBM Plex Serif" w:hAnsi="IBM Plex Serif"/>
                <w:b/>
                <w:bCs/>
                <w:color w:val="06545B"/>
                <w:sz w:val="26"/>
                <w:szCs w:val="26"/>
              </w:rPr>
              <w:t xml:space="preserve">20–40%</w:t>
            </w:r>
          </w:p>
        </w:tc>
        <w:tc>
          <w:tcPr>
            <w:tcW w:type="dxa" w:w="3360"/>
            <w:tcBorders>
              <w:top w:val="none" w:color="FFFFFF" w:sz="0"/>
              <w:left w:val="none" w:color="FFFFFF" w:sz="0"/>
              <w:bottom w:val="single" w:color="D2D2D7" w:sz="4"/>
              <w:right w:val="none" w:color="FFFFFF" w:sz="0"/>
            </w:tcBorders>
            <w:tcMar>
              <w:top w:type="dxa" w:w="80"/>
              <w:left w:type="dxa" w:w="120"/>
              <w:bottom w:type="dxa" w:w="80"/>
              <w:right w:type="dxa" w:w="120"/>
            </w:tcMar>
          </w:tcPr>
          <w:p>
            <w:pPr>
              <w:jc w:val="left"/>
            </w:pPr>
            <w:r>
              <w:rPr>
                <w:rFonts w:ascii="IBM Plex Sans" w:cs="IBM Plex Sans" w:eastAsia="IBM Plex Sans" w:hAnsi="IBM Plex Sans"/>
                <w:color w:val="3A3A3C"/>
                <w:sz w:val="21"/>
                <w:szCs w:val="21"/>
              </w:rPr>
              <w:t xml:space="preserve">working capital tied up</w:t>
            </w:r>
          </w:p>
        </w:tc>
      </w:tr>
      <w:tr>
        <w:tc>
          <w:tcPr>
            <w:tcW w:type="dxa" w:w="3400"/>
            <w:tcBorders>
              <w:top w:val="none" w:color="FFFFFF" w:sz="0"/>
              <w:left w:val="none" w:color="FFFFFF" w:sz="0"/>
              <w:bottom w:val="single" w:color="D2D2D7" w:sz="4"/>
              <w:right w:val="none" w:color="FFFFFF" w:sz="0"/>
            </w:tcBorders>
            <w:tcMar>
              <w:top w:type="dxa" w:w="80"/>
              <w:left w:type="dxa" w:w="120"/>
              <w:bottom w:type="dxa" w:w="80"/>
              <w:right w:type="dxa" w:w="120"/>
            </w:tcMar>
          </w:tcPr>
          <w:p>
            <w:pPr>
              <w:jc w:val="left"/>
            </w:pPr>
            <w:r>
              <w:rPr>
                <w:rFonts w:ascii="IBM Plex Sans" w:cs="IBM Plex Sans" w:eastAsia="IBM Plex Sans" w:hAnsi="IBM Plex Sans"/>
                <w:color w:val="1D1D1F"/>
                <w:sz w:val="21"/>
                <w:szCs w:val="21"/>
              </w:rPr>
              <w:t xml:space="preserve">Recommended allocation</w:t>
            </w:r>
          </w:p>
        </w:tc>
        <w:tc>
          <w:tcPr>
            <w:tcW w:type="dxa" w:w="2600"/>
            <w:tcBorders>
              <w:top w:val="none" w:color="FFFFFF" w:sz="0"/>
              <w:left w:val="none" w:color="FFFFFF" w:sz="0"/>
              <w:bottom w:val="single" w:color="D2D2D7" w:sz="4"/>
              <w:right w:val="none" w:color="FFFFFF" w:sz="0"/>
            </w:tcBorders>
            <w:tcMar>
              <w:top w:type="dxa" w:w="80"/>
              <w:left w:type="dxa" w:w="120"/>
              <w:bottom w:type="dxa" w:w="80"/>
              <w:right w:type="dxa" w:w="120"/>
            </w:tcMar>
          </w:tcPr>
          <w:p>
            <w:pPr>
              <w:jc w:val="right"/>
            </w:pPr>
            <w:r>
              <w:rPr>
                <w:rFonts w:ascii="IBM Plex Serif" w:cs="IBM Plex Serif" w:eastAsia="IBM Plex Serif" w:hAnsi="IBM Plex Serif"/>
                <w:b/>
                <w:bCs/>
                <w:color w:val="06545B"/>
                <w:sz w:val="26"/>
                <w:szCs w:val="26"/>
              </w:rPr>
              <w:t xml:space="preserve">$11,000</w:t>
            </w:r>
          </w:p>
        </w:tc>
        <w:tc>
          <w:tcPr>
            <w:tcW w:type="dxa" w:w="3360"/>
            <w:tcBorders>
              <w:top w:val="none" w:color="FFFFFF" w:sz="0"/>
              <w:left w:val="none" w:color="FFFFFF" w:sz="0"/>
              <w:bottom w:val="single" w:color="D2D2D7" w:sz="4"/>
              <w:right w:val="none" w:color="FFFFFF" w:sz="0"/>
            </w:tcBorders>
            <w:tcMar>
              <w:top w:type="dxa" w:w="80"/>
              <w:left w:type="dxa" w:w="120"/>
              <w:bottom w:type="dxa" w:w="80"/>
              <w:right w:type="dxa" w:w="120"/>
            </w:tcMar>
          </w:tcPr>
          <w:p>
            <w:pPr>
              <w:jc w:val="left"/>
            </w:pPr>
            <w:r>
              <w:rPr>
                <w:rFonts w:ascii="IBM Plex Sans" w:cs="IBM Plex Sans" w:eastAsia="IBM Plex Sans" w:hAnsi="IBM Plex Sans"/>
                <w:color w:val="3A3A3C"/>
                <w:sz w:val="21"/>
                <w:szCs w:val="21"/>
              </w:rPr>
              <w:t xml:space="preserve">Tier-1 SLA held</w:t>
            </w:r>
          </w:p>
        </w:tc>
      </w:tr>
      <w:tr>
        <w:tc>
          <w:tcPr>
            <w:tcW w:type="dxa" w:w="3400"/>
            <w:tcBorders>
              <w:top w:val="none" w:color="FFFFFF" w:sz="0"/>
              <w:left w:val="none" w:color="FFFFFF" w:sz="0"/>
              <w:bottom w:val="single" w:color="D2D2D7" w:sz="4"/>
              <w:right w:val="none" w:color="FFFFFF" w:sz="0"/>
            </w:tcBorders>
            <w:tcMar>
              <w:top w:type="dxa" w:w="80"/>
              <w:left w:type="dxa" w:w="120"/>
              <w:bottom w:type="dxa" w:w="80"/>
              <w:right w:type="dxa" w:w="120"/>
            </w:tcMar>
          </w:tcPr>
          <w:p>
            <w:pPr>
              <w:jc w:val="left"/>
            </w:pPr>
            <w:r>
              <w:rPr>
                <w:rFonts w:ascii="IBM Plex Sans" w:cs="IBM Plex Sans" w:eastAsia="IBM Plex Sans" w:hAnsi="IBM Plex Sans"/>
                <w:color w:val="1D1D1F"/>
                <w:sz w:val="21"/>
                <w:szCs w:val="21"/>
              </w:rPr>
              <w:t xml:space="preserve">Pro-rata allocation</w:t>
            </w:r>
          </w:p>
        </w:tc>
        <w:tc>
          <w:tcPr>
            <w:tcW w:type="dxa" w:w="2600"/>
            <w:tcBorders>
              <w:top w:val="none" w:color="FFFFFF" w:sz="0"/>
              <w:left w:val="none" w:color="FFFFFF" w:sz="0"/>
              <w:bottom w:val="single" w:color="D2D2D7" w:sz="4"/>
              <w:right w:val="none" w:color="FFFFFF" w:sz="0"/>
            </w:tcBorders>
            <w:tcMar>
              <w:top w:type="dxa" w:w="80"/>
              <w:left w:type="dxa" w:w="120"/>
              <w:bottom w:type="dxa" w:w="80"/>
              <w:right w:type="dxa" w:w="120"/>
            </w:tcMar>
          </w:tcPr>
          <w:p>
            <w:pPr>
              <w:jc w:val="right"/>
            </w:pPr>
            <w:r>
              <w:rPr>
                <w:rFonts w:ascii="IBM Plex Serif" w:cs="IBM Plex Serif" w:eastAsia="IBM Plex Serif" w:hAnsi="IBM Plex Serif"/>
                <w:b/>
                <w:bCs/>
                <w:color w:val="06545B"/>
                <w:sz w:val="26"/>
                <w:szCs w:val="26"/>
              </w:rPr>
              <w:t xml:space="preserve">$56,667</w:t>
            </w:r>
          </w:p>
        </w:tc>
        <w:tc>
          <w:tcPr>
            <w:tcW w:type="dxa" w:w="3360"/>
            <w:tcBorders>
              <w:top w:val="none" w:color="FFFFFF" w:sz="0"/>
              <w:left w:val="none" w:color="FFFFFF" w:sz="0"/>
              <w:bottom w:val="single" w:color="D2D2D7" w:sz="4"/>
              <w:right w:val="none" w:color="FFFFFF" w:sz="0"/>
            </w:tcBorders>
            <w:tcMar>
              <w:top w:type="dxa" w:w="80"/>
              <w:left w:type="dxa" w:w="120"/>
              <w:bottom w:type="dxa" w:w="80"/>
              <w:right w:type="dxa" w:w="120"/>
            </w:tcMar>
          </w:tcPr>
          <w:p>
            <w:pPr>
              <w:jc w:val="left"/>
            </w:pPr>
            <w:r>
              <w:rPr>
                <w:rFonts w:ascii="IBM Plex Sans" w:cs="IBM Plex Sans" w:eastAsia="IBM Plex Sans" w:hAnsi="IBM Plex Sans"/>
                <w:color w:val="3A3A3C"/>
                <w:sz w:val="21"/>
                <w:szCs w:val="21"/>
              </w:rPr>
              <w:t xml:space="preserve">SLA breached</w:t>
            </w:r>
          </w:p>
        </w:tc>
      </w:tr>
    </w:tbl>
    <w:p>
      <w:pPr>
        <w:pStyle w:val="Caption"/>
        <w:spacing w:before="100"/>
      </w:pPr>
      <w:r>
        <w:t xml:space="preserve">Amounts wear serif in signal-text; the register never uses status colors for emphasis.</w:t>
      </w:r>
    </w:p>
    <w:p>
      <w:pPr>
        <w:pageBreakBefore/>
        <w:pBdr>
          <w:bottom w:val="single" w:color="D2D2D7" w:sz="6" w:space="4"/>
        </w:pBdr>
        <w:spacing w:after="60"/>
      </w:pPr>
      <w:r>
        <w:rPr>
          <w:rFonts w:ascii="IBM Plex Mono" w:cs="IBM Plex Mono" w:eastAsia="IBM Plex Mono" w:hAnsi="IBM Plex Mono"/>
          <w:color w:val="6E6E73"/>
          <w:sz w:val="16"/>
          <w:szCs w:val="16"/>
        </w:rPr>
        <w:t xml:space="preserve">SAMPLE — CHART GALLERY — THE SIGNATURE SET</w:t>
      </w:r>
    </w:p>
    <w:p>
      <w:pPr>
        <w:spacing w:after="120"/>
      </w:pPr>
      <w:r>
        <w:rPr>
          <w:rFonts w:ascii="IBM Plex Serif" w:cs="IBM Plex Serif" w:eastAsia="IBM Plex Serif" w:hAnsi="IBM Plex Serif"/>
          <w:b/>
          <w:bCs/>
          <w:color w:val="06243F"/>
          <w:sz w:val="34"/>
          <w:szCs w:val="34"/>
        </w:rPr>
        <w:t xml:space="preserve">Chart gallery — the signature set</w:t>
      </w:r>
    </w:p>
    <w:p>
      <w:pPr>
        <w:spacing w:after="200"/>
      </w:pPr>
      <w:r>
        <w:rPr>
          <w:rFonts w:ascii="IBM Plex Sans" w:cs="IBM Plex Sans" w:eastAsia="IBM Plex Sans" w:hAnsi="IBM Plex Sans"/>
          <w:color w:val="3A3A3C"/>
          <w:sz w:val="19"/>
          <w:szCs w:val="19"/>
        </w:rPr>
        <w:t xml:space="preserve">Five figures rendered from one committed source — identical here, in the deck template, and on the visual-identity reference. Data is illustrative and labeled in each figure.</w:t>
      </w:r>
    </w:p>
    <w:p>
      <w:pPr>
        <w:spacing w:after="60" w:before="160"/>
        <w:jc w:val="center"/>
      </w:pPr>
      <w:r>
        <w:drawing>
          <wp:inline distT="0" distB="0" distL="0" distR="0">
            <wp:extent cx="5943600" cy="23907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5943600" cy="2390775"/>
                    </a:xfrm>
                    <a:prstGeom prst="rect">
                      <a:avLst/>
                    </a:prstGeom>
                  </pic:spPr>
                </pic:pic>
              </a:graphicData>
            </a:graphic>
          </wp:inline>
        </w:drawing>
      </w:r>
    </w:p>
    <w:p>
      <w:pPr>
        <w:spacing w:after="140"/>
        <w:jc w:val="center"/>
      </w:pPr>
      <w:r>
        <w:rPr>
          <w:rFonts w:ascii="IBM Plex Mono" w:cs="IBM Plex Mono" w:eastAsia="IBM Plex Mono" w:hAnsi="IBM Plex Mono"/>
          <w:color w:val="6E6E73"/>
          <w:sz w:val="15"/>
          <w:szCs w:val="15"/>
        </w:rPr>
        <w:t xml:space="preserve">SIGNAL LANES · CONSOLE REGISTER — position carries the value, the worded chip the state</w:t>
      </w:r>
    </w:p>
    <w:p>
      <w:pPr>
        <w:spacing w:after="60" w:before="160"/>
        <w:jc w:val="center"/>
      </w:pPr>
      <w:r>
        <w:drawing>
          <wp:inline distT="0" distB="0" distL="0" distR="0">
            <wp:extent cx="5943600" cy="21717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5943600" cy="2171700"/>
                    </a:xfrm>
                    <a:prstGeom prst="rect">
                      <a:avLst/>
                    </a:prstGeom>
                  </pic:spPr>
                </pic:pic>
              </a:graphicData>
            </a:graphic>
          </wp:inline>
        </w:drawing>
      </w:r>
    </w:p>
    <w:p>
      <w:pPr>
        <w:spacing w:after="140"/>
        <w:jc w:val="center"/>
      </w:pPr>
      <w:r>
        <w:rPr>
          <w:rFonts w:ascii="IBM Plex Mono" w:cs="IBM Plex Mono" w:eastAsia="IBM Plex Mono" w:hAnsi="IBM Plex Mono"/>
          <w:color w:val="6E6E73"/>
          <w:sz w:val="15"/>
          <w:szCs w:val="15"/>
        </w:rPr>
        <w:t xml:space="preserve">AGE AT DECISION · DISTRIBUTION — position against the labeled thresholds is the status</w:t>
      </w:r>
    </w:p>
    <w:p>
      <w:pPr>
        <w:pageBreakBefore/>
        <w:spacing w:after="60" w:before="160"/>
        <w:jc w:val="center"/>
      </w:pPr>
      <w:r>
        <w:drawing>
          <wp:inline distT="0" distB="0" distL="0" distR="0">
            <wp:extent cx="3657600" cy="23622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3657600" cy="2362200"/>
                    </a:xfrm>
                    <a:prstGeom prst="rect">
                      <a:avLst/>
                    </a:prstGeom>
                  </pic:spPr>
                </pic:pic>
              </a:graphicData>
            </a:graphic>
          </wp:inline>
        </w:drawing>
      </w:r>
    </w:p>
    <w:p>
      <w:pPr>
        <w:spacing w:after="140"/>
        <w:jc w:val="center"/>
      </w:pPr>
      <w:r>
        <w:rPr>
          <w:rFonts w:ascii="IBM Plex Mono" w:cs="IBM Plex Mono" w:eastAsia="IBM Plex Mono" w:hAnsi="IBM Plex Mono"/>
          <w:color w:val="6E6E73"/>
          <w:sz w:val="15"/>
          <w:szCs w:val="15"/>
        </w:rPr>
        <w:t xml:space="preserve">CALENDAR HEATMAP · SEQUENTIAL — one teal stepped by value; only the extremes labeled</w:t>
      </w:r>
    </w:p>
    <w:p>
      <w:pPr>
        <w:spacing w:after="60" w:before="160"/>
        <w:jc w:val="center"/>
      </w:pPr>
      <w:r>
        <w:drawing>
          <wp:inline distT="0" distB="0" distL="0" distR="0">
            <wp:extent cx="3657600" cy="23622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cstate="none"/>
                    <a:srcRect/>
                    <a:stretch>
                      <a:fillRect/>
                    </a:stretch>
                  </pic:blipFill>
                  <pic:spPr bwMode="auto">
                    <a:xfrm>
                      <a:off x="0" y="0"/>
                      <a:ext cx="3657600" cy="2362200"/>
                    </a:xfrm>
                    <a:prstGeom prst="rect">
                      <a:avLst/>
                    </a:prstGeom>
                  </pic:spPr>
                </pic:pic>
              </a:graphicData>
            </a:graphic>
          </wp:inline>
        </w:drawing>
      </w:r>
    </w:p>
    <w:p>
      <w:pPr>
        <w:spacing w:after="140"/>
        <w:jc w:val="center"/>
      </w:pPr>
      <w:r>
        <w:rPr>
          <w:rFonts w:ascii="IBM Plex Mono" w:cs="IBM Plex Mono" w:eastAsia="IBM Plex Mono" w:hAnsi="IBM Plex Mono"/>
          <w:color w:val="6E6E73"/>
          <w:sz w:val="15"/>
          <w:szCs w:val="15"/>
        </w:rPr>
        <w:t xml:space="preserve">WATERFALL · BRIDGE — neutral comparators; the accent on the recovery</w:t>
      </w:r>
    </w:p>
    <w:p>
      <w:pPr>
        <w:spacing w:after="60" w:before="160"/>
        <w:jc w:val="center"/>
      </w:pPr>
      <w:r>
        <w:drawing>
          <wp:inline distT="0" distB="0" distL="0" distR="0">
            <wp:extent cx="5943600" cy="18669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5943600" cy="1866900"/>
                    </a:xfrm>
                    <a:prstGeom prst="rect">
                      <a:avLst/>
                    </a:prstGeom>
                  </pic:spPr>
                </pic:pic>
              </a:graphicData>
            </a:graphic>
          </wp:inline>
        </w:drawing>
      </w:r>
    </w:p>
    <w:p>
      <w:pPr>
        <w:spacing w:after="140"/>
        <w:jc w:val="center"/>
      </w:pPr>
      <w:r>
        <w:rPr>
          <w:rFonts w:ascii="IBM Plex Mono" w:cs="IBM Plex Mono" w:eastAsia="IBM Plex Mono" w:hAnsi="IBM Plex Mono"/>
          <w:color w:val="6E6E73"/>
          <w:sz w:val="15"/>
          <w:szCs w:val="15"/>
        </w:rPr>
        <w:t xml:space="preserve">THE INSTRUMENT ROW · BULLETS — measure vs target tick vs qualitative bands</w:t>
      </w:r>
    </w:p>
    <w:p>
      <w:pPr>
        <w:pageBreakBefore/>
        <w:pBdr>
          <w:bottom w:val="single" w:color="D2D2D7" w:sz="6" w:space="4"/>
        </w:pBdr>
        <w:spacing w:after="60"/>
      </w:pPr>
      <w:r>
        <w:rPr>
          <w:rFonts w:ascii="IBM Plex Mono" w:cs="IBM Plex Mono" w:eastAsia="IBM Plex Mono" w:hAnsi="IBM Plex Mono"/>
          <w:color w:val="6E6E73"/>
          <w:sz w:val="16"/>
          <w:szCs w:val="16"/>
        </w:rPr>
        <w:t xml:space="preserve">SAMPLE — CANON — VISUAL IDENTITY §0, TOKENS AT A GLANCE</w:t>
      </w:r>
    </w:p>
    <w:p>
      <w:pPr>
        <w:spacing w:after="120" w:before="200"/>
      </w:pPr>
      <w:r>
        <w:rPr>
          <w:rFonts w:ascii="IBM Plex Serif" w:cs="IBM Plex Serif" w:eastAsia="IBM Plex Serif" w:hAnsi="IBM Plex Serif"/>
          <w:b/>
          <w:bCs/>
          <w:color w:val="06243F"/>
          <w:sz w:val="40"/>
          <w:szCs w:val="40"/>
        </w:rPr>
        <w:t xml:space="preserve">Tokens at a glance</w:t>
      </w:r>
    </w:p>
    <w:p>
      <w:r>
        <w:rPr>
          <w:rFonts w:ascii="IBM Plex Sans" w:cs="IBM Plex Sans" w:eastAsia="IBM Plex Sans" w:hAnsi="IBM Plex Sans"/>
          <w:color w:val="3A3A3C"/>
          <w:sz w:val="21"/>
          <w:szCs w:val="21"/>
        </w:rPr>
        <w:t xml:space="preserve">The canonical sheet, reproduced from the visual-identity page §0 (source of truth: arethusa tokens.css). Where anything else disagrees, §0 wins.</w:t>
      </w:r>
    </w:p>
    <w:p>
      <w:pPr>
        <w:spacing w:after="120" w:before="260"/>
      </w:pPr>
      <w:r>
        <w:rPr>
          <w:rFonts w:ascii="IBM Plex Serif" w:cs="IBM Plex Serif" w:eastAsia="IBM Plex Serif" w:hAnsi="IBM Plex Serif"/>
          <w:b/>
          <w:bCs/>
          <w:color w:val="00707A"/>
          <w:sz w:val="27"/>
          <w:szCs w:val="27"/>
        </w:rPr>
        <w:t xml:space="preserve">Light surfaces &amp; neutrals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2400"/>
        <w:gridCol w:w="1900"/>
        <w:gridCol w:w="3760"/>
      </w:tblGrid>
      <w:tr>
        <w:tc>
          <w:tcPr>
            <w:tcW w:type="dxa" w:w="13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Swatch</w:t>
            </w:r>
          </w:p>
        </w:tc>
        <w:tc>
          <w:tcPr>
            <w:tcW w:type="dxa" w:w="24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Token</w:t>
            </w:r>
          </w:p>
        </w:tc>
        <w:tc>
          <w:tcPr>
            <w:tcW w:type="dxa" w:w="19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Hex</w:t>
            </w:r>
          </w:p>
        </w:tc>
        <w:tc>
          <w:tcPr>
            <w:tcW w:type="dxa" w:w="376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Role</w:t>
            </w:r>
          </w:p>
        </w:tc>
      </w:tr>
      <w:tr>
        <w:tc>
          <w:tcPr>
            <w:tcW w:type="dxa" w:w="1300"/>
            <w:tcBorders>
              <w:top w:val="single" w:color="D8DADC" w:sz="1"/>
              <w:left w:val="single" w:color="D8DADC" w:sz="1"/>
              <w:bottom w:val="single" w:color="D8DADC" w:sz="1"/>
              <w:right w:val="single" w:color="D8DADC" w:sz="1"/>
            </w:tcBorders>
            <w:shd w:fill="FFFFFF"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paper</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#FFFFFF</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Page background.</w:t>
            </w:r>
          </w:p>
        </w:tc>
      </w:tr>
      <w:tr>
        <w:tc>
          <w:tcPr>
            <w:tcW w:type="dxa" w:w="1300"/>
            <w:tcBorders>
              <w:top w:val="single" w:color="D8DADC" w:sz="1"/>
              <w:left w:val="single" w:color="D8DADC" w:sz="1"/>
              <w:bottom w:val="single" w:color="D8DADC" w:sz="1"/>
              <w:right w:val="single" w:color="D8DADC" w:sz="1"/>
            </w:tcBorders>
            <w:shd w:fill="F5F5F7"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paper2</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#F5F5F7</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Cards, quiet panels.</w:t>
            </w:r>
          </w:p>
        </w:tc>
      </w:tr>
      <w:tr>
        <w:tc>
          <w:tcPr>
            <w:tcW w:type="dxa" w:w="1300"/>
            <w:tcBorders>
              <w:top w:val="single" w:color="D8DADC" w:sz="1"/>
              <w:left w:val="single" w:color="D8DADC" w:sz="1"/>
              <w:bottom w:val="single" w:color="D8DADC" w:sz="1"/>
              <w:right w:val="single" w:color="D8DADC" w:sz="1"/>
            </w:tcBorders>
            <w:shd w:fill="1D1D1F"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ink</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#1D1D1F</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Primary text.</w:t>
            </w:r>
          </w:p>
        </w:tc>
      </w:tr>
      <w:tr>
        <w:tc>
          <w:tcPr>
            <w:tcW w:type="dxa" w:w="1300"/>
            <w:tcBorders>
              <w:top w:val="single" w:color="D8DADC" w:sz="1"/>
              <w:left w:val="single" w:color="D8DADC" w:sz="1"/>
              <w:bottom w:val="single" w:color="D8DADC" w:sz="1"/>
              <w:right w:val="single" w:color="D8DADC" w:sz="1"/>
            </w:tcBorders>
            <w:shd w:fill="3A3A3C"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ink2</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#3A3A3C</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Secondary text.</w:t>
            </w:r>
          </w:p>
        </w:tc>
      </w:tr>
      <w:tr>
        <w:tc>
          <w:tcPr>
            <w:tcW w:type="dxa" w:w="1300"/>
            <w:tcBorders>
              <w:top w:val="single" w:color="D8DADC" w:sz="1"/>
              <w:left w:val="single" w:color="D8DADC" w:sz="1"/>
              <w:bottom w:val="single" w:color="D8DADC" w:sz="1"/>
              <w:right w:val="single" w:color="D8DADC" w:sz="1"/>
            </w:tcBorders>
            <w:shd w:fill="6E6E73"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muted</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#6E6E73</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Tertiary / metadata.</w:t>
            </w:r>
          </w:p>
        </w:tc>
      </w:tr>
      <w:tr>
        <w:tc>
          <w:tcPr>
            <w:tcW w:type="dxa" w:w="1300"/>
            <w:tcBorders>
              <w:top w:val="single" w:color="D8DADC" w:sz="1"/>
              <w:left w:val="single" w:color="D8DADC" w:sz="1"/>
              <w:bottom w:val="single" w:color="D8DADC" w:sz="1"/>
              <w:right w:val="single" w:color="D8DADC" w:sz="1"/>
            </w:tcBorders>
            <w:shd w:fill="D2D2D7"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rule</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#D2D2D7</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Dividers, borders.</w:t>
            </w:r>
          </w:p>
        </w:tc>
      </w:tr>
    </w:tbl>
    <w:p>
      <w:pPr>
        <w:spacing w:after="120" w:before="260"/>
      </w:pPr>
      <w:r>
        <w:rPr>
          <w:rFonts w:ascii="IBM Plex Serif" w:cs="IBM Plex Serif" w:eastAsia="IBM Plex Serif" w:hAnsi="IBM Plex Serif"/>
          <w:b/>
          <w:bCs/>
          <w:color w:val="00707A"/>
          <w:sz w:val="27"/>
          <w:szCs w:val="27"/>
        </w:rPr>
        <w:t xml:space="preserve">Signal (the one accent)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2400"/>
        <w:gridCol w:w="1900"/>
        <w:gridCol w:w="3760"/>
      </w:tblGrid>
      <w:tr>
        <w:tc>
          <w:tcPr>
            <w:tcW w:type="dxa" w:w="13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Swatch</w:t>
            </w:r>
          </w:p>
        </w:tc>
        <w:tc>
          <w:tcPr>
            <w:tcW w:type="dxa" w:w="24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Token</w:t>
            </w:r>
          </w:p>
        </w:tc>
        <w:tc>
          <w:tcPr>
            <w:tcW w:type="dxa" w:w="19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Hex</w:t>
            </w:r>
          </w:p>
        </w:tc>
        <w:tc>
          <w:tcPr>
            <w:tcW w:type="dxa" w:w="376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Role</w:t>
            </w:r>
          </w:p>
        </w:tc>
      </w:tr>
      <w:tr>
        <w:tc>
          <w:tcPr>
            <w:tcW w:type="dxa" w:w="1300"/>
            <w:tcBorders>
              <w:top w:val="single" w:color="D8DADC" w:sz="1"/>
              <w:left w:val="single" w:color="D8DADC" w:sz="1"/>
              <w:bottom w:val="single" w:color="D8DADC" w:sz="1"/>
              <w:right w:val="single" w:color="D8DADC" w:sz="1"/>
            </w:tcBorders>
            <w:shd w:fill="00707A"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signal</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#00707A</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Links, CTAs, focal data point. 5.8:1 on white (AA). One focal use per view.</w:t>
            </w:r>
          </w:p>
        </w:tc>
      </w:tr>
      <w:tr>
        <w:tc>
          <w:tcPr>
            <w:tcW w:type="dxa" w:w="1300"/>
            <w:tcBorders>
              <w:top w:val="single" w:color="D8DADC" w:sz="1"/>
              <w:left w:val="single" w:color="D8DADC" w:sz="1"/>
              <w:bottom w:val="single" w:color="D8DADC" w:sz="1"/>
              <w:right w:val="single" w:color="D8DADC" w:sz="1"/>
            </w:tcBorders>
            <w:shd w:fill="FFFFFF"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signal-ink</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#FFFFFF</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Fills carry WHITE text (5.8:1) — never dark ink on teal.</w:t>
            </w:r>
          </w:p>
        </w:tc>
      </w:tr>
      <w:tr>
        <w:tc>
          <w:tcPr>
            <w:tcW w:type="dxa" w:w="1300"/>
            <w:tcBorders>
              <w:top w:val="single" w:color="D8DADC" w:sz="1"/>
              <w:left w:val="single" w:color="D8DADC" w:sz="1"/>
              <w:bottom w:val="single" w:color="D8DADC" w:sz="1"/>
              <w:right w:val="single" w:color="D8DADC" w:sz="1"/>
            </w:tcBorders>
            <w:shd w:fill="005860"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signal-hover</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#005860</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Hover / pressed.</w:t>
            </w:r>
          </w:p>
        </w:tc>
      </w:tr>
      <w:tr>
        <w:tc>
          <w:tcPr>
            <w:tcW w:type="dxa" w:w="1300"/>
            <w:tcBorders>
              <w:top w:val="single" w:color="D8DADC" w:sz="1"/>
              <w:left w:val="single" w:color="D8DADC" w:sz="1"/>
              <w:bottom w:val="single" w:color="D8DADC" w:sz="1"/>
              <w:right w:val="single" w:color="D8DADC" w:sz="1"/>
            </w:tcBorders>
            <w:shd w:fill="E0F0F1"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signal-bg</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#E0F0F1</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Accent tint background.</w:t>
            </w:r>
          </w:p>
        </w:tc>
      </w:tr>
      <w:tr>
        <w:tc>
          <w:tcPr>
            <w:tcW w:type="dxa" w:w="1300"/>
            <w:tcBorders>
              <w:top w:val="single" w:color="D8DADC" w:sz="1"/>
              <w:left w:val="single" w:color="D8DADC" w:sz="1"/>
              <w:bottom w:val="single" w:color="D8DADC" w:sz="1"/>
              <w:right w:val="single" w:color="D8DADC" w:sz="1"/>
            </w:tcBorders>
            <w:shd w:fill="06545B"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signal-text</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#06545B</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Accent text on tints / long passages — 8.6:1 (AAA) on paper.</w:t>
            </w:r>
          </w:p>
        </w:tc>
      </w:tr>
    </w:tbl>
    <w:p>
      <w:pPr>
        <w:spacing w:after="120" w:before="260"/>
      </w:pPr>
      <w:r>
        <w:rPr>
          <w:rFonts w:ascii="IBM Plex Serif" w:cs="IBM Plex Serif" w:eastAsia="IBM Plex Serif" w:hAnsi="IBM Plex Serif"/>
          <w:b/>
          <w:bCs/>
          <w:color w:val="00707A"/>
          <w:sz w:val="27"/>
          <w:szCs w:val="27"/>
        </w:rPr>
        <w:t xml:space="preserve">Status (Sense · Decide · Act + watch/breach)</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2400"/>
        <w:gridCol w:w="1900"/>
        <w:gridCol w:w="3760"/>
      </w:tblGrid>
      <w:tr>
        <w:tc>
          <w:tcPr>
            <w:tcW w:type="dxa" w:w="13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Swatch</w:t>
            </w:r>
          </w:p>
        </w:tc>
        <w:tc>
          <w:tcPr>
            <w:tcW w:type="dxa" w:w="24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Token</w:t>
            </w:r>
          </w:p>
        </w:tc>
        <w:tc>
          <w:tcPr>
            <w:tcW w:type="dxa" w:w="19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Hex</w:t>
            </w:r>
          </w:p>
        </w:tc>
        <w:tc>
          <w:tcPr>
            <w:tcW w:type="dxa" w:w="376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Role</w:t>
            </w:r>
          </w:p>
        </w:tc>
      </w:tr>
      <w:tr>
        <w:tc>
          <w:tcPr>
            <w:tcW w:type="dxa" w:w="1300"/>
            <w:tcBorders>
              <w:top w:val="single" w:color="D8DADC" w:sz="1"/>
              <w:left w:val="single" w:color="D8DADC" w:sz="1"/>
              <w:bottom w:val="single" w:color="D8DADC" w:sz="1"/>
              <w:right w:val="single" w:color="D8DADC" w:sz="1"/>
            </w:tcBorders>
            <w:shd w:fill="1F77C4"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sense</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#1F77C4</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What the system observes.</w:t>
            </w:r>
          </w:p>
        </w:tc>
      </w:tr>
      <w:tr>
        <w:tc>
          <w:tcPr>
            <w:tcW w:type="dxa" w:w="1300"/>
            <w:tcBorders>
              <w:top w:val="single" w:color="D8DADC" w:sz="1"/>
              <w:left w:val="single" w:color="D8DADC" w:sz="1"/>
              <w:bottom w:val="single" w:color="D8DADC" w:sz="1"/>
              <w:right w:val="single" w:color="D8DADC" w:sz="1"/>
            </w:tcBorders>
            <w:shd w:fill="0A4A92"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decide</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#0A4A92</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Governed judgment.</w:t>
            </w:r>
          </w:p>
        </w:tc>
      </w:tr>
      <w:tr>
        <w:tc>
          <w:tcPr>
            <w:tcW w:type="dxa" w:w="1300"/>
            <w:tcBorders>
              <w:top w:val="single" w:color="D8DADC" w:sz="1"/>
              <w:left w:val="single" w:color="D8DADC" w:sz="1"/>
              <w:bottom w:val="single" w:color="D8DADC" w:sz="1"/>
              <w:right w:val="single" w:color="D8DADC" w:sz="1"/>
            </w:tcBorders>
            <w:shd w:fill="2CB6C0"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target</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#2CB6C0</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Act / target. THE bright stroke on navy (6.4:1) — deep teal recedes there (2.7:1).</w:t>
            </w:r>
          </w:p>
        </w:tc>
      </w:tr>
      <w:tr>
        <w:tc>
          <w:tcPr>
            <w:tcW w:type="dxa" w:w="1300"/>
            <w:tcBorders>
              <w:top w:val="single" w:color="D8DADC" w:sz="1"/>
              <w:left w:val="single" w:color="D8DADC" w:sz="1"/>
              <w:bottom w:val="single" w:color="D8DADC" w:sz="1"/>
              <w:right w:val="single" w:color="D8DADC" w:sz="1"/>
            </w:tcBorders>
            <w:shd w:fill="E8A13A"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watch</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#E8A13A</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At-risk ONLY, kept scarce. 7.2:1 on navy; weak on white.</w:t>
            </w:r>
          </w:p>
        </w:tc>
      </w:tr>
      <w:tr>
        <w:tc>
          <w:tcPr>
            <w:tcW w:type="dxa" w:w="1300"/>
            <w:tcBorders>
              <w:top w:val="single" w:color="D8DADC" w:sz="1"/>
              <w:left w:val="single" w:color="D8DADC" w:sz="1"/>
              <w:bottom w:val="single" w:color="D8DADC" w:sz="1"/>
              <w:right w:val="single" w:color="D8DADC" w:sz="1"/>
            </w:tcBorders>
            <w:shd w:fill="A66A00"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watch-text</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#A66A00</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Watch text/markers on light surfaces (4.5:1).</w:t>
            </w:r>
          </w:p>
        </w:tc>
      </w:tr>
      <w:tr>
        <w:tc>
          <w:tcPr>
            <w:tcW w:type="dxa" w:w="1300"/>
            <w:tcBorders>
              <w:top w:val="single" w:color="D8DADC" w:sz="1"/>
              <w:left w:val="single" w:color="D8DADC" w:sz="1"/>
              <w:bottom w:val="single" w:color="D8DADC" w:sz="1"/>
              <w:right w:val="single" w:color="D8DADC" w:sz="1"/>
            </w:tcBorders>
            <w:shd w:fill="E5484D"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breach</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#E5484D</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Breach status only.</w:t>
            </w:r>
          </w:p>
        </w:tc>
      </w:tr>
      <w:tr>
        <w:tc>
          <w:tcPr>
            <w:tcW w:type="dxa" w:w="1300"/>
            <w:tcBorders>
              <w:top w:val="single" w:color="D8DADC" w:sz="1"/>
              <w:left w:val="single" w:color="D8DADC" w:sz="1"/>
              <w:bottom w:val="single" w:color="D8DADC" w:sz="1"/>
              <w:right w:val="single" w:color="D8DADC" w:sz="1"/>
            </w:tcBorders>
            <w:shd w:fill="C62F35"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breach-text</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#C62F35</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Breach text/markers on light surfaces (5.4:1).</w:t>
            </w:r>
          </w:p>
        </w:tc>
      </w:tr>
    </w:tbl>
    <w:p>
      <w:pPr>
        <w:spacing w:after="120" w:before="260"/>
      </w:pPr>
      <w:r>
        <w:rPr>
          <w:rFonts w:ascii="IBM Plex Serif" w:cs="IBM Plex Serif" w:eastAsia="IBM Plex Serif" w:hAnsi="IBM Plex Serif"/>
          <w:b/>
          <w:bCs/>
          <w:color w:val="00707A"/>
          <w:sz w:val="27"/>
          <w:szCs w:val="27"/>
        </w:rPr>
        <w:t xml:space="preserve">Dark surface system</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2400"/>
        <w:gridCol w:w="1900"/>
        <w:gridCol w:w="3760"/>
      </w:tblGrid>
      <w:tr>
        <w:tc>
          <w:tcPr>
            <w:tcW w:type="dxa" w:w="13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Swatch</w:t>
            </w:r>
          </w:p>
        </w:tc>
        <w:tc>
          <w:tcPr>
            <w:tcW w:type="dxa" w:w="24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Token</w:t>
            </w:r>
          </w:p>
        </w:tc>
        <w:tc>
          <w:tcPr>
            <w:tcW w:type="dxa" w:w="19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Hex</w:t>
            </w:r>
          </w:p>
        </w:tc>
        <w:tc>
          <w:tcPr>
            <w:tcW w:type="dxa" w:w="376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r>
              <w:rPr>
                <w:rFonts w:ascii="IBM Plex Sans" w:cs="IBM Plex Sans" w:eastAsia="IBM Plex Sans" w:hAnsi="IBM Plex Sans"/>
                <w:b/>
                <w:bCs/>
                <w:color w:val="FFFFFF"/>
                <w:sz w:val="20"/>
                <w:szCs w:val="20"/>
              </w:rPr>
              <w:t xml:space="preserve">Role</w:t>
            </w:r>
          </w:p>
        </w:tc>
      </w:tr>
      <w:tr>
        <w:tc>
          <w:tcPr>
            <w:tcW w:type="dxa" w:w="1300"/>
            <w:tcBorders>
              <w:top w:val="single" w:color="D8DADC" w:sz="1"/>
              <w:left w:val="single" w:color="D8DADC" w:sz="1"/>
              <w:bottom w:val="single" w:color="D8DADC" w:sz="1"/>
              <w:right w:val="single" w:color="D8DADC" w:sz="1"/>
            </w:tcBorders>
            <w:shd w:fill="06243F"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dk</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#06243F</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Deep navy band — hero / footer / instrument panel.</w:t>
            </w:r>
          </w:p>
        </w:tc>
      </w:tr>
      <w:tr>
        <w:tc>
          <w:tcPr>
            <w:tcW w:type="dxa" w:w="1300"/>
            <w:tcBorders>
              <w:top w:val="single" w:color="D8DADC" w:sz="1"/>
              <w:left w:val="single" w:color="D8DADC" w:sz="1"/>
              <w:bottom w:val="single" w:color="D8DADC" w:sz="1"/>
              <w:right w:val="single" w:color="D8DADC" w:sz="1"/>
            </w:tcBorders>
            <w:shd w:fill="0A2F4F"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dk2</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#0A2F4F</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Raised within dark.</w:t>
            </w:r>
          </w:p>
        </w:tc>
      </w:tr>
      <w:tr>
        <w:tc>
          <w:tcPr>
            <w:tcW w:type="dxa" w:w="1300"/>
            <w:tcBorders>
              <w:top w:val="single" w:color="D8DADC" w:sz="1"/>
              <w:left w:val="single" w:color="D8DADC" w:sz="1"/>
              <w:bottom w:val="single" w:color="D8DADC" w:sz="1"/>
              <w:right w:val="single" w:color="D8DADC" w:sz="1"/>
            </w:tcBorders>
            <w:shd w:fill="15579E"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dk-grid</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#15579E</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Gridlines / borders within dark.</w:t>
            </w:r>
          </w:p>
        </w:tc>
      </w:tr>
      <w:tr>
        <w:tc>
          <w:tcPr>
            <w:tcW w:type="dxa" w:w="1300"/>
            <w:tcBorders>
              <w:top w:val="single" w:color="D8DADC" w:sz="1"/>
              <w:left w:val="single" w:color="D8DADC" w:sz="1"/>
              <w:bottom w:val="single" w:color="D8DADC" w:sz="1"/>
              <w:right w:val="single" w:color="D8DADC" w:sz="1"/>
            </w:tcBorders>
            <w:shd w:fill="FFFFFF"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dk-on</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#FFFFFF</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Primary text on dark.</w:t>
            </w:r>
          </w:p>
        </w:tc>
      </w:tr>
      <w:tr>
        <w:tc>
          <w:tcPr>
            <w:tcW w:type="dxa" w:w="1300"/>
            <w:tcBorders>
              <w:top w:val="single" w:color="D8DADC" w:sz="1"/>
              <w:left w:val="single" w:color="D8DADC" w:sz="1"/>
              <w:bottom w:val="single" w:color="D8DADC" w:sz="1"/>
              <w:right w:val="single" w:color="D8DADC" w:sz="1"/>
            </w:tcBorders>
            <w:shd w:fill="BCD4E6"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dk-on2</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#BCD4E6</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Secondary text on dark.</w:t>
            </w:r>
          </w:p>
        </w:tc>
      </w:tr>
      <w:tr>
        <w:tc>
          <w:tcPr>
            <w:tcW w:type="dxa" w:w="1300"/>
            <w:tcBorders>
              <w:top w:val="single" w:color="D8DADC" w:sz="1"/>
              <w:left w:val="single" w:color="D8DADC" w:sz="1"/>
              <w:bottom w:val="single" w:color="D8DADC" w:sz="1"/>
              <w:right w:val="single" w:color="D8DADC" w:sz="1"/>
            </w:tcBorders>
            <w:shd w:fill="8A99A8" w:val="clear"/>
            <w:tcMar>
              <w:top w:type="dxa" w:w="80"/>
              <w:left w:type="dxa" w:w="120"/>
              <w:bottom w:type="dxa" w:w="80"/>
              <w:right w:type="dxa" w:w="120"/>
            </w:tcMar>
          </w:tcPr>
          <w:p/>
        </w:tc>
        <w:tc>
          <w:tcPr>
            <w:tcW w:type="dxa" w:w="24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1D1D1F"/>
                <w:sz w:val="20"/>
                <w:szCs w:val="20"/>
              </w:rPr>
              <w:t xml:space="preserve">dk-on3</w:t>
            </w:r>
          </w:p>
        </w:tc>
        <w:tc>
          <w:tcPr>
            <w:tcW w:type="dxa" w:w="190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Mono" w:cs="IBM Plex Mono" w:eastAsia="IBM Plex Mono" w:hAnsi="IBM Plex Mono"/>
                <w:color w:val="1D1D1F"/>
                <w:sz w:val="19"/>
                <w:szCs w:val="19"/>
              </w:rPr>
              <w:t xml:space="preserve">#8A99A8</w:t>
            </w:r>
          </w:p>
        </w:tc>
        <w:tc>
          <w:tcPr>
            <w:tcW w:type="dxa" w:w="3760"/>
            <w:tcBorders>
              <w:top w:val="single" w:color="D8DADC" w:sz="1"/>
              <w:left w:val="single" w:color="D8DADC" w:sz="1"/>
              <w:bottom w:val="single" w:color="D8DADC" w:sz="1"/>
              <w:right w:val="single" w:color="D8DADC" w:sz="1"/>
            </w:tcBorders>
            <w:tcMar>
              <w:top w:type="dxa" w:w="80"/>
              <w:left w:type="dxa" w:w="120"/>
              <w:bottom w:type="dxa" w:w="80"/>
              <w:right w:type="dxa" w:w="120"/>
            </w:tcMar>
          </w:tcPr>
          <w:p>
            <w:r>
              <w:rPr>
                <w:rFonts w:ascii="IBM Plex Sans" w:cs="IBM Plex Sans" w:eastAsia="IBM Plex Sans" w:hAnsi="IBM Plex Sans"/>
                <w:color w:val="3A3A3C"/>
                <w:sz w:val="19"/>
                <w:szCs w:val="19"/>
              </w:rPr>
              <w:t xml:space="preserve">Tertiary text on dark.</w:t>
            </w:r>
          </w:p>
        </w:tc>
      </w:tr>
    </w:tbl>
    <w:p>
      <w:pPr>
        <w:pageBreakBefore/>
        <w:spacing w:after="120"/>
      </w:pPr>
      <w:r>
        <w:rPr>
          <w:rFonts w:ascii="IBM Plex Serif" w:cs="IBM Plex Serif" w:eastAsia="IBM Plex Serif" w:hAnsi="IBM Plex Serif"/>
          <w:b/>
          <w:bCs/>
          <w:color w:val="06243F"/>
          <w:sz w:val="34"/>
          <w:szCs w:val="34"/>
        </w:rPr>
        <w:t xml:space="preserve">Type, layout, and usage rules</w:t>
      </w:r>
    </w:p>
    <w:p>
      <w:pPr>
        <w:spacing w:after="120" w:before="200"/>
      </w:pPr>
      <w:r>
        <w:rPr>
          <w:rFonts w:ascii="IBM Plex Serif" w:cs="IBM Plex Serif" w:eastAsia="IBM Plex Serif" w:hAnsi="IBM Plex Serif"/>
          <w:b/>
          <w:bCs/>
          <w:color w:val="00707A"/>
          <w:sz w:val="27"/>
          <w:szCs w:val="27"/>
        </w:rPr>
        <w:t xml:space="preserve">Type</w:t>
      </w:r>
    </w:p>
    <w:p>
      <w:r>
        <w:rPr>
          <w:rFonts w:ascii="IBM Plex Sans" w:cs="IBM Plex Sans" w:eastAsia="IBM Plex Sans" w:hAnsi="IBM Plex Sans"/>
          <w:color w:val="1D1D1F"/>
          <w:sz w:val="21"/>
          <w:szCs w:val="21"/>
        </w:rPr>
        <w:t xml:space="preserve">IBM Plex Serif — display (headings, marks) · IBM Plex Sans — body (paragraphs, UI) · IBM Plex Mono — eyebrows, data pills, labels.</w:t>
      </w:r>
    </w:p>
    <w:p>
      <w:pPr>
        <w:spacing w:before="120"/>
      </w:pPr>
      <w:r>
        <w:rPr>
          <w:rFonts w:ascii="IBM Plex Mono" w:cs="IBM Plex Mono" w:eastAsia="IBM Plex Mono" w:hAnsi="IBM Plex Mono"/>
          <w:color w:val="3A3A3C"/>
          <w:sz w:val="19"/>
          <w:szCs w:val="19"/>
        </w:rPr>
        <w:t xml:space="preserve">Scale (1.25 modular, 17 px base): 13 · 15 · 17 · 19 · 22 · 28 · 36 · 46 · 58 · 76 px</w:t>
      </w:r>
    </w:p>
    <w:p>
      <w:pPr>
        <w:spacing w:after="120" w:before="200"/>
      </w:pPr>
      <w:r>
        <w:rPr>
          <w:rFonts w:ascii="IBM Plex Serif" w:cs="IBM Plex Serif" w:eastAsia="IBM Plex Serif" w:hAnsi="IBM Plex Serif"/>
          <w:b/>
          <w:bCs/>
          <w:color w:val="00707A"/>
          <w:sz w:val="27"/>
          <w:szCs w:val="27"/>
        </w:rPr>
        <w:t xml:space="preserve">Layout</w:t>
      </w:r>
    </w:p>
    <w:p>
      <w:r>
        <w:rPr>
          <w:rFonts w:ascii="IBM Plex Mono" w:cs="IBM Plex Mono" w:eastAsia="IBM Plex Mono" w:hAnsi="IBM Plex Mono"/>
          <w:color w:val="3A3A3C"/>
          <w:sz w:val="19"/>
          <w:szCs w:val="19"/>
        </w:rPr>
        <w:t xml:space="preserve">Widths: prose 680 · narrow 840 · wide 1180 px.  Spacing: 4 · 8 · 12 · 16 · 24 · 32 · 48 · 64 · 96 · 128 · 192 px.  Radii: 6 · 8 · 10 · 14 · 16 · 999 (pill).</w:t>
      </w:r>
    </w:p>
    <w:p>
      <w:pPr>
        <w:spacing w:after="120" w:before="200"/>
      </w:pPr>
      <w:r>
        <w:rPr>
          <w:rFonts w:ascii="IBM Plex Serif" w:cs="IBM Plex Serif" w:eastAsia="IBM Plex Serif" w:hAnsi="IBM Plex Serif"/>
          <w:b/>
          <w:bCs/>
          <w:color w:val="00707A"/>
          <w:sz w:val="27"/>
          <w:szCs w:val="27"/>
        </w:rPr>
        <w:t xml:space="preserve">Usage rules</w:t>
      </w:r>
    </w:p>
    <w:p>
      <w:pPr>
        <w:pStyle w:val="ListParagraph"/>
        <w:numPr>
          <w:ilvl w:val="0"/>
          <w:numId w:val="2"/>
        </w:numPr>
      </w:pPr>
      <w:r>
        <w:rPr>
          <w:rFonts w:ascii="IBM Plex Sans" w:cs="IBM Plex Sans" w:eastAsia="IBM Plex Sans" w:hAnsi="IBM Plex Sans"/>
          <w:color w:val="1D1D1F"/>
          <w:sz w:val="21"/>
          <w:szCs w:val="21"/>
        </w:rPr>
        <w:t xml:space="preserve">Fills carry white ink: Signal Teal buttons/fills use white text (5.8:1). Dark ink on teal is never used.</w:t>
      </w:r>
    </w:p>
    <w:p>
      <w:pPr>
        <w:pStyle w:val="ListParagraph"/>
        <w:numPr>
          <w:ilvl w:val="0"/>
          <w:numId w:val="2"/>
        </w:numPr>
      </w:pPr>
      <w:r>
        <w:rPr>
          <w:rFonts w:ascii="IBM Plex Sans" w:cs="IBM Plex Sans" w:eastAsia="IBM Plex Sans" w:hAnsi="IBM Plex Sans"/>
          <w:color w:val="1D1D1F"/>
          <w:sz w:val="21"/>
          <w:szCs w:val="21"/>
        </w:rPr>
        <w:t xml:space="preserve">On navy, deep teal recedes (2.7:1) — dark surfaces hand the bright-stroke job to Target #2CB6C0 (6.4:1), or use a Signal fill carrying white text.</w:t>
      </w:r>
    </w:p>
    <w:p>
      <w:pPr>
        <w:pStyle w:val="ListParagraph"/>
        <w:numPr>
          <w:ilvl w:val="0"/>
          <w:numId w:val="2"/>
        </w:numPr>
      </w:pPr>
      <w:r>
        <w:rPr>
          <w:rFonts w:ascii="IBM Plex Sans" w:cs="IBM Plex Sans" w:eastAsia="IBM Plex Sans" w:hAnsi="IBM Plex Sans"/>
          <w:color w:val="1D1D1F"/>
          <w:sz w:val="21"/>
          <w:szCs w:val="21"/>
        </w:rPr>
        <w:t xml:space="preserve">One focal Signal use per view. The accent stays scarce.</w:t>
      </w:r>
    </w:p>
    <w:p>
      <w:pPr>
        <w:pStyle w:val="ListParagraph"/>
        <w:numPr>
          <w:ilvl w:val="0"/>
          <w:numId w:val="2"/>
        </w:numPr>
      </w:pPr>
      <w:r>
        <w:rPr>
          <w:rFonts w:ascii="IBM Plex Sans" w:cs="IBM Plex Sans" w:eastAsia="IBM Plex Sans" w:hAnsi="IBM Plex Sans"/>
          <w:color w:val="1D1D1F"/>
          <w:sz w:val="21"/>
          <w:szCs w:val="21"/>
        </w:rPr>
        <w:t xml:space="preserve">Watch and breach mark genuine status only — never decoration.</w:t>
      </w:r>
    </w:p>
    <w:p>
      <w:pPr>
        <w:pStyle w:val="ListParagraph"/>
        <w:numPr>
          <w:ilvl w:val="0"/>
          <w:numId w:val="2"/>
        </w:numPr>
      </w:pPr>
      <w:r>
        <w:rPr>
          <w:rFonts w:ascii="IBM Plex Sans" w:cs="IBM Plex Sans" w:eastAsia="IBM Plex Sans" w:hAnsi="IBM Plex Sans"/>
          <w:color w:val="1D1D1F"/>
          <w:sz w:val="21"/>
          <w:szCs w:val="21"/>
        </w:rPr>
        <w:t xml:space="preserve">Where any prose disagrees with this sheet, §0 wins.</w:t>
      </w:r>
    </w:p>
    <w:p>
      <w:pPr>
        <w:spacing w:before="300"/>
      </w:pPr>
      <w:r>
        <w:rPr>
          <w:rFonts w:ascii="IBM Plex Sans" w:cs="IBM Plex Sans" w:eastAsia="IBM Plex Sans" w:hAnsi="IBM Plex Sans"/>
          <w:color w:val="6E6E73"/>
          <w:sz w:val="20"/>
          <w:szCs w:val="20"/>
        </w:rPr>
        <w:t xml:space="preserve">House rules: A2go with a lowercase g · the product is the A2go Decision Intelligence Platform (ADIP) · Artemis is the AI persona only · numbers in IBM Plex Mono · SCOR references use SCOR DS (Orchestrate, Plan, Order, Source, Transform, Fulfill, Return).</w:t>
      </w:r>
    </w:p>
    <w:sectPr>
      <w:headerReference w:type="default" r:id="rId9"/>
      <w:footerReference w:type="default" r:id="rId10"/>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pPr>
    <w:r>
      <w:rPr>
        <w:rFonts w:ascii="IBM Plex Mono" w:cs="IBM Plex Mono" w:eastAsia="IBM Plex Mono" w:hAnsi="IBM Plex Mono"/>
        <w:color w:val="6E6E73"/>
        <w:sz w:val="15"/>
        <w:szCs w:val="15"/>
      </w:rPr>
      <w:t xml:space="preserve">© 2026 Analytics2Go, Inc. All rights reserved. · Confidential &amp; Proprietary</w:t>
    </w:r>
    <w:r>
      <w:rPr>
        <w:rFonts w:ascii="IBM Plex Mono" w:cs="IBM Plex Mono" w:eastAsia="IBM Plex Mono" w:hAnsi="IBM Plex Mono"/>
        <w:color w:val="6E6E73"/>
        <w:sz w:val="15"/>
        <w:szCs w:val="15"/>
      </w:rPr>
      <w:t xml:space="preserve">	</w:t>
      <w:t xml:space="preserve">Page </w:t>
      <w:fldChar w:fldCharType="begin"/>
      <w:instrText xml:space="preserve">PAGE</w:instrText>
      <w:fldChar w:fldCharType="separate"/>
      <w:fldChar w:fldCharType="end"/>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drawing>
        <wp:inline distT="0" distB="0" distL="0" distR="0">
          <wp:extent cx="742950" cy="2190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42950" cy="2190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260"/>
      </w:pPr>
    </w:lvl>
  </w:abstractNum>
  <w:abstractNum w:abstractNumId="3" w15:restartNumberingAfterBreak="0">
    <w:multiLevelType w:val="hybridMultilevel"/>
    <w:lvl w:ilvl="0" w15:tentative="1">
      <w:start w:val="1"/>
      <w:numFmt w:val="decimal"/>
      <w:lvlText w:val="%1."/>
      <w:lvlJc w:val="left"/>
      <w:pPr>
        <w:ind w:left="540" w:hanging="2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IBM Plex Sans" w:cs="IBM Plex Sans" w:eastAsia="IBM Plex Sans" w:hAnsi="IBM Plex Sans"/>
        <w:color w:val="1D1D1F"/>
        <w:sz w:val="22"/>
        <w:szCs w:val="22"/>
      </w:rPr>
    </w:rPrDefault>
    <w:pPrDefault/>
  </w:docDefaults>
  <w:style w:type="paragraph" w:default="1" w:styleId="Normal">
    <w:name w:val="Normal"/>
    <w:qFormat/>
    <w:rPr>
      <w:rFonts w:ascii="IBM Plex Sans" w:hAnsi="IBM Plex Sans" w:eastAsia="IBM Plex Sans" w:cs="IBM Plex Sans"/>
      <w:color w:val="1D1D1F"/>
      <w:sz w:val="22"/>
      <w:szCs w:val="22"/>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next w:val="Normal"/>
    <w:qFormat/>
    <w:pPr>
      <w:spacing w:after="240" w:before="0"/>
    </w:pPr>
    <w:rPr>
      <w:rFonts w:ascii="IBM Plex Serif" w:cs="IBM Plex Serif" w:eastAsia="IBM Plex Serif" w:hAnsi="IBM Plex Serif"/>
      <w:b/>
      <w:bCs/>
      <w:color w:val="06243F"/>
      <w:sz w:val="56"/>
      <w:szCs w:val="56"/>
    </w:rPr>
  </w:style>
  <w:style w:type="paragraph" w:styleId="Subtitle">
    <w:name w:val="Subtitle"/>
    <w:basedOn w:val="Normal"/>
    <w:next w:val="Normal"/>
    <w:qFormat/>
    <w:pPr>
      <w:spacing w:after="360"/>
    </w:pPr>
    <w:rPr>
      <w:rFonts w:ascii="IBM Plex Sans" w:cs="IBM Plex Sans" w:eastAsia="IBM Plex Sans" w:hAnsi="IBM Plex Sans"/>
      <w:color w:val="6E6E73"/>
      <w:sz w:val="26"/>
      <w:szCs w:val="26"/>
    </w:rPr>
  </w:style>
  <w:style w:type="paragraph" w:styleId="Heading1">
    <w:name w:val="Heading 1"/>
    <w:basedOn w:val="Normal"/>
    <w:next w:val="Normal"/>
    <w:qFormat/>
    <w:pPr>
      <w:spacing w:after="180" w:before="360"/>
      <w:outlineLvl w:val="0"/>
    </w:pPr>
    <w:rPr>
      <w:rFonts w:ascii="IBM Plex Serif" w:cs="IBM Plex Serif" w:eastAsia="IBM Plex Serif" w:hAnsi="IBM Plex Serif"/>
      <w:b/>
      <w:bCs/>
      <w:color w:val="06243F"/>
      <w:sz w:val="34"/>
      <w:szCs w:val="34"/>
    </w:rPr>
  </w:style>
  <w:style w:type="paragraph" w:styleId="Heading2">
    <w:name w:val="Heading 2"/>
    <w:basedOn w:val="Normal"/>
    <w:next w:val="Normal"/>
    <w:qFormat/>
    <w:pPr>
      <w:spacing w:after="140" w:before="280"/>
      <w:outlineLvl w:val="1"/>
    </w:pPr>
    <w:rPr>
      <w:rFonts w:ascii="IBM Plex Serif" w:cs="IBM Plex Serif" w:eastAsia="IBM Plex Serif" w:hAnsi="IBM Plex Serif"/>
      <w:b/>
      <w:bCs/>
      <w:color w:val="00707A"/>
      <w:sz w:val="27"/>
      <w:szCs w:val="27"/>
    </w:rPr>
  </w:style>
  <w:style w:type="paragraph" w:styleId="Heading3">
    <w:name w:val="Heading 3"/>
    <w:basedOn w:val="Normal"/>
    <w:next w:val="Normal"/>
    <w:qFormat/>
    <w:pPr>
      <w:spacing w:after="100" w:before="220"/>
      <w:outlineLvl w:val="2"/>
    </w:pPr>
    <w:rPr>
      <w:rFonts w:ascii="IBM Plex Sans" w:cs="IBM Plex Sans" w:eastAsia="IBM Plex Sans" w:hAnsi="IBM Plex Sans"/>
      <w:b/>
      <w:bCs/>
      <w:color w:val="1D1D1F"/>
      <w:sz w:val="23"/>
      <w:szCs w:val="23"/>
    </w:rPr>
  </w:style>
  <w:style w:type="paragraph" w:styleId="Eyebrow">
    <w:name w:val="Eyebrow"/>
    <w:basedOn w:val="Normal"/>
    <w:next w:val="Normal"/>
    <w:qFormat/>
    <w:pPr>
      <w:spacing w:after="120"/>
    </w:pPr>
    <w:rPr>
      <w:rFonts w:ascii="IBM Plex Mono" w:cs="IBM Plex Mono" w:eastAsia="IBM Plex Mono" w:hAnsi="IBM Plex Mono"/>
      <w:color w:val="00707A"/>
      <w:sz w:val="18"/>
      <w:szCs w:val="18"/>
    </w:rPr>
  </w:style>
  <w:style w:type="paragraph" w:styleId="IntenseQuote">
    <w:name w:val="Intense Quote"/>
    <w:basedOn w:val="Normal"/>
    <w:next w:val="Normal"/>
    <w:qFormat/>
    <w:pPr>
      <w:pBdr>
        <w:left w:val="single" w:color="00707A" w:sz="18" w:space="12"/>
      </w:pBdr>
      <w:spacing w:after="240" w:before="240"/>
      <w:ind w:left="540"/>
    </w:pPr>
    <w:rPr>
      <w:rFonts w:ascii="IBM Plex Serif" w:cs="IBM Plex Serif" w:eastAsia="IBM Plex Serif" w:hAnsi="IBM Plex Serif"/>
      <w:i/>
      <w:iCs/>
      <w:color w:val="06243F"/>
      <w:sz w:val="26"/>
      <w:szCs w:val="26"/>
    </w:rPr>
  </w:style>
  <w:style w:type="paragraph" w:styleId="Caption">
    <w:name w:val="Caption"/>
    <w:basedOn w:val="Normal"/>
    <w:next w:val="Normal"/>
    <w:qFormat/>
    <w:pPr>
      <w:spacing w:after="200"/>
    </w:pPr>
    <w:rPr>
      <w:rFonts w:ascii="IBM Plex Sans" w:cs="IBM Plex Sans" w:eastAsia="IBM Plex Sans" w:hAnsi="IBM Plex Sans"/>
      <w:i/>
      <w:iCs/>
      <w:color w:val="6E6E73"/>
      <w:sz w:val="18"/>
      <w:szCs w:val="18"/>
    </w:rPr>
  </w:style>
  <w:style w:type="paragraph" w:styleId="MonoData">
    <w:name w:val="Mono Data"/>
    <w:basedOn w:val="Normal"/>
    <w:next w:val="Normal"/>
    <w:qFormat/>
    <w:rPr>
      <w:rFonts w:ascii="IBM Plex Mono" w:cs="IBM Plex Mono" w:eastAsia="IBM Plex Mono" w:hAnsi="IBM Plex Mono"/>
      <w:color w:val="1D1D1F"/>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aacd86b898674b4db25712ed36792c27f180e394.png"/><Relationship Id="rId12" Type="http://schemas.openxmlformats.org/officeDocument/2006/relationships/image" Target="media/8a76a7e01bc9596a392adb32d636dac3caa3142b.png"/><Relationship Id="rId13" Type="http://schemas.openxmlformats.org/officeDocument/2006/relationships/image" Target="media/e12f5a42819d8165d2698c494b73b423a19cfff9.png"/><Relationship Id="rId14" Type="http://schemas.openxmlformats.org/officeDocument/2006/relationships/image" Target="media/088ff2dab756bb40a849df126635196ac68f1f35.png"/><Relationship Id="rId15" Type="http://schemas.openxmlformats.org/officeDocument/2006/relationships/image" Target="media/96c5ed84fce9520e14d915fd82218821f00001eb.png"/><Relationship Id="rId16" Type="http://schemas.openxmlformats.org/officeDocument/2006/relationships/image" Target="media/ccc95c1773dc002d4a6b29b26f2e777f92ee664a.png"/><Relationship Id="rId17" Type="http://schemas.openxmlformats.org/officeDocument/2006/relationships/image" Target="media/d3c79244adc9c96ead36aab08ceed45aaf228c1c.png"/><Relationship Id="rId18" Type="http://schemas.openxmlformats.org/officeDocument/2006/relationships/image" Target="media/978ff54f2bf77dcb7d40baa61a51903b42eb1a24.png"/><Relationship Id="rId19" Type="http://schemas.openxmlformats.org/officeDocument/2006/relationships/image" Target="media/d7645e88bf6eadb536c2a2aa40e304226f16d43b.png"/><Relationship Id="rId2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_rels/header2.xml.rels><?xml version="1.0" encoding="UTF-8"?><Relationships xmlns="http://schemas.openxmlformats.org/package/2006/relationships"><Relationship Id="rId0" Type="http://schemas.openxmlformats.org/officeDocument/2006/relationships/image" Target="media/e12f5a42819d8165d2698c494b73b423a19cfff9.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A2go document template v14</dc:title>
  <dc:creator>Analytics2Go, Inc.</dc:creator>
  <dc:description>A2go-branded Word template — covers (dark/light), letter, memo, policy, one-pager, specimens, chart gallery, VI §0 canon.</dc:description>
  <cp:lastModifiedBy>Un-named</cp:lastModifiedBy>
  <cp:revision>1</cp:revision>
  <dcterms:created xsi:type="dcterms:W3CDTF">2026-07-30T23:53:55.805Z</dcterms:created>
  <dcterms:modified xsi:type="dcterms:W3CDTF">2026-07-30T23:53:55.805Z</dcterms:modified>
</cp:coreProperties>
</file>

<file path=docProps/custom.xml><?xml version="1.0" encoding="utf-8"?>
<Properties xmlns="http://schemas.openxmlformats.org/officeDocument/2006/custom-properties" xmlns:vt="http://schemas.openxmlformats.org/officeDocument/2006/docPropsVTypes"/>
</file>